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83B8" w14:textId="0A221F33" w:rsidR="00804F8D" w:rsidRPr="00531A54" w:rsidRDefault="00BE26BA" w:rsidP="00531A54">
      <w:pPr>
        <w:shd w:val="clear" w:color="auto" w:fill="FFFFFF"/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531A54">
        <w:rPr>
          <w:rFonts w:ascii="Book Antiqua" w:eastAsia="Times New Roman" w:hAnsi="Book Antiqua" w:cs="Times New Roman"/>
          <w:sz w:val="24"/>
          <w:szCs w:val="24"/>
          <w:lang w:eastAsia="pl-PL"/>
        </w:rPr>
        <w:t>Stwierdzenie nabycia spadku</w:t>
      </w:r>
    </w:p>
    <w:p w14:paraId="1E6BBE83" w14:textId="41C5F875" w:rsidR="00BE26BA" w:rsidRPr="00531A54" w:rsidRDefault="00BE26BA" w:rsidP="00531A54">
      <w:pPr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62D98954" w14:textId="77777777" w:rsidR="00BE26BA" w:rsidRPr="00531A54" w:rsidRDefault="00BE26BA" w:rsidP="00531A54">
      <w:pPr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1E98F4B3" w14:textId="084FD416" w:rsidR="00804F8D" w:rsidRPr="00531A54" w:rsidRDefault="00BE26BA" w:rsidP="00531A54">
      <w:pPr>
        <w:shd w:val="clear" w:color="auto" w:fill="FFFFFF"/>
        <w:spacing w:after="0" w:line="276" w:lineRule="auto"/>
        <w:jc w:val="both"/>
        <w:outlineLvl w:val="1"/>
        <w:rPr>
          <w:rFonts w:ascii="Book Antiqua" w:eastAsia="Times New Roman" w:hAnsi="Book Antiqua" w:cs="Arial"/>
          <w:b/>
          <w:bCs/>
          <w:color w:val="2C5987"/>
          <w:sz w:val="24"/>
          <w:szCs w:val="24"/>
          <w:lang w:eastAsia="pl-PL"/>
        </w:rPr>
      </w:pPr>
      <w:r w:rsidRPr="00531A54">
        <w:rPr>
          <w:rFonts w:ascii="Book Antiqua" w:eastAsia="Times New Roman" w:hAnsi="Book Antiqua" w:cs="Arial"/>
          <w:b/>
          <w:bCs/>
          <w:color w:val="2C5987"/>
          <w:sz w:val="24"/>
          <w:szCs w:val="24"/>
          <w:lang w:eastAsia="pl-PL"/>
        </w:rPr>
        <w:t xml:space="preserve">1/ Kto może złożyć </w:t>
      </w:r>
      <w:r w:rsidR="00804F8D" w:rsidRPr="00531A54">
        <w:rPr>
          <w:rFonts w:ascii="Book Antiqua" w:eastAsia="Times New Roman" w:hAnsi="Book Antiqua" w:cs="Arial"/>
          <w:b/>
          <w:bCs/>
          <w:color w:val="2C5987"/>
          <w:sz w:val="24"/>
          <w:szCs w:val="24"/>
          <w:lang w:eastAsia="pl-PL"/>
        </w:rPr>
        <w:t>wniosek o stwierdzenie nabycia spadku?</w:t>
      </w:r>
    </w:p>
    <w:p w14:paraId="265AC0E4" w14:textId="77777777" w:rsidR="00181E7B" w:rsidRPr="00531A54" w:rsidRDefault="00181E7B" w:rsidP="00531A54">
      <w:pPr>
        <w:shd w:val="clear" w:color="auto" w:fill="FFFFFF"/>
        <w:spacing w:after="0" w:line="276" w:lineRule="auto"/>
        <w:jc w:val="both"/>
        <w:outlineLvl w:val="1"/>
        <w:rPr>
          <w:rFonts w:ascii="Book Antiqua" w:eastAsia="Times New Roman" w:hAnsi="Book Antiqua" w:cs="Arial"/>
          <w:b/>
          <w:bCs/>
          <w:color w:val="2C5987"/>
          <w:sz w:val="24"/>
          <w:szCs w:val="24"/>
          <w:lang w:eastAsia="pl-PL"/>
        </w:rPr>
      </w:pPr>
    </w:p>
    <w:p w14:paraId="23A95D8B" w14:textId="13A882C8" w:rsidR="00804F8D" w:rsidRPr="00531A54" w:rsidRDefault="00804F8D" w:rsidP="00531A54">
      <w:pPr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color w:val="555555"/>
          <w:sz w:val="24"/>
          <w:szCs w:val="24"/>
          <w:lang w:eastAsia="pl-PL"/>
        </w:rPr>
      </w:pPr>
      <w:r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>Zgodnie z przepisami Kodeksu cywilnego (K.c.) – spadkobierca nabywa spadek z chwilą otwarcia spadku, którą jest śmierć spadkodawcy. W tym momencie prawa i obowiązki majątkowe zmarłego przechodzą na jedną lub kilka osób. W literaturze określa się, że nabycie spadku następuje z mocy samego prawa (</w:t>
      </w:r>
      <w:r w:rsidRPr="00531A54">
        <w:rPr>
          <w:rFonts w:ascii="Book Antiqua" w:eastAsia="Times New Roman" w:hAnsi="Book Antiqua" w:cs="Times New Roman"/>
          <w:i/>
          <w:iCs/>
          <w:color w:val="555555"/>
          <w:sz w:val="24"/>
          <w:szCs w:val="24"/>
          <w:lang w:eastAsia="pl-PL"/>
        </w:rPr>
        <w:t>ex lege</w:t>
      </w:r>
      <w:r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>). Oznacza to, że już w chwili śmierci spadkodawcy uprawnione osoby dziedziczą po zmarłym. Jednakże, aby wykazać to prawo wobec osób trzecich, należy legitymować się stwierdzeniem nabycia spadku albo zarejestrowanym aktem poświadczenia dziedziczenia. Zgodnie z art. 1025 § 1 K.c. sąd na wniosek osoby mającej w tym interes prawny stwierdza nabycie spadku przez spadkobiercę. Natomiast notariusz sporządza akt poświadczenia dziedziczenia. Oba te dokumenty są równoważne pod względem prawnym i stwierdzają, że osoba, która je uzyskała, jest spadkobiercą. Kodeks cywilny nie definiuje pojęcia osoby mającej interes. Należy zatem to stwierdzenie rozumieć szeroko. Przykładowo wymienia się tu przede wszystkim spadkobierców, ich wierzycie</w:t>
      </w:r>
      <w:r w:rsidR="00BE26BA"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>li, uprawnionych do zachowku oraz</w:t>
      </w:r>
      <w:r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 xml:space="preserve"> wierzycieli spadkodawcy</w:t>
      </w:r>
      <w:r w:rsidR="00BE26BA"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 xml:space="preserve">. Wskazać należy, iż </w:t>
      </w:r>
      <w:r w:rsidR="00BE26BA" w:rsidRPr="00531A54">
        <w:rPr>
          <w:rFonts w:ascii="Book Antiqua" w:eastAsia="Times New Roman" w:hAnsi="Book Antiqua" w:cs="Times New Roman"/>
          <w:b/>
          <w:bCs/>
          <w:color w:val="555555"/>
          <w:sz w:val="24"/>
          <w:szCs w:val="24"/>
          <w:lang w:eastAsia="pl-PL"/>
        </w:rPr>
        <w:t>n</w:t>
      </w:r>
      <w:r w:rsidRPr="00531A54">
        <w:rPr>
          <w:rFonts w:ascii="Book Antiqua" w:eastAsia="Times New Roman" w:hAnsi="Book Antiqua" w:cs="Times New Roman"/>
          <w:b/>
          <w:bCs/>
          <w:color w:val="555555"/>
          <w:sz w:val="24"/>
          <w:szCs w:val="24"/>
          <w:lang w:eastAsia="pl-PL"/>
        </w:rPr>
        <w:t>abycie spadku następuje z mocy prawa w chwili śmierci spadkodawcy. Postanowienie o stwierdzeniu nabycia spadku ma charakter deklaratywny, potwierdzający ten fakt wobec osób trzecich.</w:t>
      </w:r>
    </w:p>
    <w:p w14:paraId="77AACAE8" w14:textId="77777777" w:rsidR="00BE26BA" w:rsidRPr="00531A54" w:rsidRDefault="00804F8D" w:rsidP="00531A54">
      <w:pPr>
        <w:shd w:val="clear" w:color="auto" w:fill="FFFFFF"/>
        <w:spacing w:before="225" w:after="225" w:line="276" w:lineRule="auto"/>
        <w:jc w:val="both"/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</w:pPr>
      <w:r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> </w:t>
      </w:r>
    </w:p>
    <w:p w14:paraId="5E0D069E" w14:textId="40959D65" w:rsidR="00804F8D" w:rsidRPr="00531A54" w:rsidRDefault="00BE26BA" w:rsidP="00531A54">
      <w:pPr>
        <w:shd w:val="clear" w:color="auto" w:fill="FFFFFF"/>
        <w:spacing w:before="225" w:after="225" w:line="276" w:lineRule="auto"/>
        <w:jc w:val="both"/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</w:pPr>
      <w:r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 xml:space="preserve">2/ </w:t>
      </w:r>
      <w:r w:rsidRPr="00531A54">
        <w:rPr>
          <w:rFonts w:ascii="Book Antiqua" w:eastAsia="Times New Roman" w:hAnsi="Book Antiqua" w:cs="Arial"/>
          <w:b/>
          <w:bCs/>
          <w:color w:val="2C5987"/>
          <w:sz w:val="24"/>
          <w:szCs w:val="24"/>
          <w:lang w:eastAsia="pl-PL"/>
        </w:rPr>
        <w:t>T</w:t>
      </w:r>
      <w:r w:rsidR="00804F8D" w:rsidRPr="00531A54">
        <w:rPr>
          <w:rFonts w:ascii="Book Antiqua" w:eastAsia="Times New Roman" w:hAnsi="Book Antiqua" w:cs="Arial"/>
          <w:b/>
          <w:bCs/>
          <w:color w:val="2C5987"/>
          <w:sz w:val="24"/>
          <w:szCs w:val="24"/>
          <w:lang w:eastAsia="pl-PL"/>
        </w:rPr>
        <w:t>ryb postępowania sądowego o stwierdzenie nabycia spadku</w:t>
      </w:r>
    </w:p>
    <w:p w14:paraId="34C3C5A6" w14:textId="77777777" w:rsidR="00804F8D" w:rsidRPr="00531A54" w:rsidRDefault="00804F8D" w:rsidP="00531A54">
      <w:pPr>
        <w:shd w:val="clear" w:color="auto" w:fill="FFFFFF"/>
        <w:spacing w:after="0" w:line="276" w:lineRule="auto"/>
        <w:jc w:val="both"/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</w:pPr>
      <w:r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>Postępowanie sądowe o stwierdzenie nabycia spadku sąd wszczyna na wniosek. Do prowadzenia sprawy właściwy jest sąd rejonowy miejsca zamieszkania wnioskodawcy. Wniosek powinien spełniać wymogi pozwu z art. 187 Kodeksu postępowania cywilnego z tą różnicą, że zamiast pozwanego należy wymienić zainteresowanych w sprawie. Opłata od wniosku wynosi 100 zł. W omawianym postępowaniu można równocześnie złożyć oświadczenie o </w:t>
      </w:r>
      <w:hyperlink r:id="rId5" w:tooltip="przyjęciu lub o odrzuceniu spadku" w:history="1">
        <w:r w:rsidRPr="00531A54">
          <w:rPr>
            <w:rFonts w:ascii="Book Antiqua" w:eastAsia="Times New Roman" w:hAnsi="Book Antiqua" w:cs="Times New Roman"/>
            <w:b/>
            <w:bCs/>
            <w:color w:val="2C5987"/>
            <w:sz w:val="24"/>
            <w:szCs w:val="24"/>
            <w:lang w:eastAsia="pl-PL"/>
          </w:rPr>
          <w:t>przyjęciu lub o odrzuceniu spadku</w:t>
        </w:r>
      </w:hyperlink>
      <w:r w:rsidRPr="00531A54">
        <w:rPr>
          <w:rFonts w:ascii="Book Antiqua" w:eastAsia="Times New Roman" w:hAnsi="Book Antiqua" w:cs="Times New Roman"/>
          <w:b/>
          <w:bCs/>
          <w:color w:val="555555"/>
          <w:sz w:val="24"/>
          <w:szCs w:val="24"/>
          <w:lang w:eastAsia="pl-PL"/>
        </w:rPr>
        <w:t>.</w:t>
      </w:r>
      <w:r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 xml:space="preserve"> Ta czynność podlega dodatkowej opłacie 100 zł. Stwierdzenie nabycia spadku może nastąpić po upływie sześciu miesięcy od otwarcia spadku. Wynika to z faktu, że w wymienionym terminie spadkobiercy powinni złożyć oświadczenie o przyjęciu lub o odrzuceniu spadku. Sąd spadku bada przede wszystkim, kto jest spadkobiercą i czy spadkodawca pozostawił testament. Jeżeli zostanie uprawdopodobnione, że testament znajduje się u określonej osoby, wzywa się ją do złożenia testamentu. Następnie sąd dokonuje jego otwarcia i ogłoszenia.</w:t>
      </w:r>
    </w:p>
    <w:p w14:paraId="53270A32" w14:textId="4A79A3B3" w:rsidR="00804F8D" w:rsidRPr="00531A54" w:rsidRDefault="00804F8D" w:rsidP="00531A54">
      <w:pPr>
        <w:shd w:val="clear" w:color="auto" w:fill="FFFFFF"/>
        <w:spacing w:before="225" w:after="225" w:line="276" w:lineRule="auto"/>
        <w:jc w:val="both"/>
        <w:rPr>
          <w:rFonts w:ascii="Book Antiqua" w:eastAsia="Times New Roman" w:hAnsi="Book Antiqua" w:cs="Times New Roman"/>
          <w:b/>
          <w:bCs/>
          <w:color w:val="555555"/>
          <w:sz w:val="24"/>
          <w:szCs w:val="24"/>
          <w:lang w:eastAsia="pl-PL"/>
        </w:rPr>
      </w:pPr>
      <w:r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lastRenderedPageBreak/>
        <w:t>W odróżnieniu od procesu cywilnego, w którym to strony toczące spór mają obowiązek udowodnienia swoich racji, w postępowaniu o stwierdzenie nabycia spadku sąd działa z urzędu. To oznacza, że strony nie mają obowiązku udowadniania swoich twierdzeń. Za dowód, że nie ma innych spadkobierców, może być przyjęte zapewnienie przez zgłaszającego się spadkobiercę. Obejmuje ono oświadczenie o testamentach spadkodawcy i o istnieniu bądź nie osób dziedziczących ze spadkobiercą lub wyłączających ich od dziedziczenia. Jeżeli zapewnienie nie było złożone albo okazało się niewystarczające, sąd wzywa spadkobierców przez ogłoszenie. Umieszcza się je w piśmie poczytnym na całym obszarze Państwa i podaje publicznie do wiadomości w ostatnim miejscu pobytu spadkodawcy. Następuje to z reguły w budynku urzędu gminy. Po upływie trzech miesięcy sąd, po przeprowadzeniu rozprawy, wydaje stosowne postanowienie, w którym wymienia spadkodawcę, wszystkich spadkobierców i wysokość przysługujących im udziałów.</w:t>
      </w:r>
      <w:r w:rsidR="00531A54"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 xml:space="preserve"> </w:t>
      </w:r>
      <w:r w:rsidRPr="00531A54">
        <w:rPr>
          <w:rFonts w:ascii="Book Antiqua" w:eastAsia="Times New Roman" w:hAnsi="Book Antiqua" w:cs="Times New Roman"/>
          <w:b/>
          <w:bCs/>
          <w:color w:val="555555"/>
          <w:sz w:val="24"/>
          <w:szCs w:val="24"/>
          <w:lang w:eastAsia="pl-PL"/>
        </w:rPr>
        <w:t>Prawomocne postanowienie o stwierdzeniu nabycia spadku albo akt poświadczenia dziedziczenia stwarza domniemanie prawne, że osoba, która je uzyskała, jest spadkobiercą</w:t>
      </w:r>
      <w:r w:rsidRPr="00531A54">
        <w:rPr>
          <w:rFonts w:ascii="Book Antiqua" w:eastAsia="Times New Roman" w:hAnsi="Book Antiqua" w:cs="Times New Roman"/>
          <w:b/>
          <w:bCs/>
          <w:i/>
          <w:iCs/>
          <w:color w:val="555555"/>
          <w:sz w:val="24"/>
          <w:szCs w:val="24"/>
          <w:lang w:eastAsia="pl-PL"/>
        </w:rPr>
        <w:t>.</w:t>
      </w:r>
    </w:p>
    <w:p w14:paraId="1BBF0E50" w14:textId="77777777" w:rsidR="00804F8D" w:rsidRPr="00531A54" w:rsidRDefault="00804F8D" w:rsidP="00531A54">
      <w:pPr>
        <w:shd w:val="clear" w:color="auto" w:fill="FFFFFF"/>
        <w:spacing w:before="225" w:after="225" w:line="276" w:lineRule="auto"/>
        <w:jc w:val="both"/>
        <w:rPr>
          <w:rFonts w:ascii="Book Antiqua" w:eastAsia="Times New Roman" w:hAnsi="Book Antiqua" w:cs="Times New Roman"/>
          <w:b/>
          <w:bCs/>
          <w:color w:val="555555"/>
          <w:sz w:val="24"/>
          <w:szCs w:val="24"/>
          <w:lang w:eastAsia="pl-PL"/>
        </w:rPr>
      </w:pPr>
      <w:r w:rsidRPr="00531A54">
        <w:rPr>
          <w:rFonts w:ascii="Book Antiqua" w:eastAsia="Times New Roman" w:hAnsi="Book Antiqua" w:cs="Times New Roman"/>
          <w:b/>
          <w:bCs/>
          <w:color w:val="555555"/>
          <w:sz w:val="24"/>
          <w:szCs w:val="24"/>
          <w:lang w:eastAsia="pl-PL"/>
        </w:rPr>
        <w:t> </w:t>
      </w:r>
    </w:p>
    <w:p w14:paraId="0B94D4A1" w14:textId="2EA9B982" w:rsidR="00804F8D" w:rsidRPr="00531A54" w:rsidRDefault="00531A54" w:rsidP="00531A54">
      <w:pPr>
        <w:shd w:val="clear" w:color="auto" w:fill="FFFFFF"/>
        <w:spacing w:after="0" w:line="276" w:lineRule="auto"/>
        <w:jc w:val="both"/>
        <w:outlineLvl w:val="1"/>
        <w:rPr>
          <w:rFonts w:ascii="Book Antiqua" w:eastAsia="Times New Roman" w:hAnsi="Book Antiqua" w:cs="Arial"/>
          <w:b/>
          <w:bCs/>
          <w:color w:val="2C5987"/>
          <w:sz w:val="24"/>
          <w:szCs w:val="24"/>
          <w:lang w:eastAsia="pl-PL"/>
        </w:rPr>
      </w:pPr>
      <w:r w:rsidRPr="00531A54">
        <w:rPr>
          <w:rFonts w:ascii="Book Antiqua" w:eastAsia="Times New Roman" w:hAnsi="Book Antiqua" w:cs="Arial"/>
          <w:b/>
          <w:bCs/>
          <w:color w:val="2C5987"/>
          <w:sz w:val="24"/>
          <w:szCs w:val="24"/>
          <w:lang w:eastAsia="pl-PL"/>
        </w:rPr>
        <w:t>3/D</w:t>
      </w:r>
      <w:r w:rsidR="00804F8D" w:rsidRPr="00531A54">
        <w:rPr>
          <w:rFonts w:ascii="Book Antiqua" w:eastAsia="Times New Roman" w:hAnsi="Book Antiqua" w:cs="Arial"/>
          <w:b/>
          <w:bCs/>
          <w:color w:val="2C5987"/>
          <w:sz w:val="24"/>
          <w:szCs w:val="24"/>
          <w:lang w:eastAsia="pl-PL"/>
        </w:rPr>
        <w:t xml:space="preserve">ata uprawomocnienia się </w:t>
      </w:r>
      <w:r w:rsidRPr="00531A54">
        <w:rPr>
          <w:rFonts w:ascii="Book Antiqua" w:eastAsia="Times New Roman" w:hAnsi="Book Antiqua" w:cs="Arial"/>
          <w:b/>
          <w:bCs/>
          <w:color w:val="2C5987"/>
          <w:sz w:val="24"/>
          <w:szCs w:val="24"/>
          <w:lang w:eastAsia="pl-PL"/>
        </w:rPr>
        <w:t>postanowienia o stwierdzenia spadku</w:t>
      </w:r>
    </w:p>
    <w:p w14:paraId="67ADD57D" w14:textId="3FC9A528" w:rsidR="00804F8D" w:rsidRPr="00531A54" w:rsidRDefault="00804F8D" w:rsidP="00531A54">
      <w:pPr>
        <w:shd w:val="clear" w:color="auto" w:fill="FFFFFF"/>
        <w:spacing w:before="225" w:after="225" w:line="276" w:lineRule="auto"/>
        <w:jc w:val="both"/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</w:pPr>
      <w:r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>Postanowienie o stwierdzeniu nabycia spadku staje się prawomocne po upływie</w:t>
      </w:r>
      <w:r w:rsidR="00531A54"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 xml:space="preserve"> 7</w:t>
      </w:r>
      <w:r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 xml:space="preserve"> dni od jego ogłoszenia, jeżeli nie zostanie zaskarżone. Po tym terminie uprawnione osoby powinny zwrócić się do sądu o wydanie odpisu orzeczenia ze stwierdzeniem prawomocności, uiszczając opłatę 20 zł. Prawomocne postanowienia i akty poświadczenia dziedziczenia wpisuje się do Rejestru Spadkowego.</w:t>
      </w:r>
    </w:p>
    <w:p w14:paraId="550A14BB" w14:textId="22BF1968" w:rsidR="00804F8D" w:rsidRPr="00531A54" w:rsidRDefault="00804F8D" w:rsidP="00531A54">
      <w:pPr>
        <w:shd w:val="clear" w:color="auto" w:fill="FFFFFF"/>
        <w:spacing w:before="225" w:after="225" w:line="276" w:lineRule="auto"/>
        <w:jc w:val="both"/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</w:pPr>
      <w:r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 xml:space="preserve">Kodeks postępowania cywilnego przewiduje możliwość zmiany bądź uchylenia prawomocnego postanowienia stwierdzającego nabycie spadku. Sąd z urzędu uchyli orzeczenie albo akt poświadczenia dziedziczenia, jeżeli dotyczyły osoby uznanej za zmarłą lub której zgon został stwierdzony postanowieniem sądu, które zostało uchylone. Jeżeli się okaże, że spadek w całości lub w części nabyła inna osoba niż wskazana w prawomocnym postanowieniu, sąd zmienia to postanowienie, stwierdzając nabycie spadku zgodnie z rzeczywistym stanem prawnym. Wniosek o wszczęcie takiego postępowania może zgłosić każdy zainteresowany. Nie jest ograniczony żadnym terminem w odróżnieniu od sytuacji, gdy wnioskodawca był uczestnikiem postępowania, którego orzeczenie chce zmienić. Wówczas wniosek musi zgłosić przed upływem roku od dnia, w którym uzyskał możliwość powołania się na okoliczności, których nie mógł powołać w poprzednim postępowaniu. Może to być pojawienie się nowych spadkobierców, odnalezienie testamentu spadkodawcy bądź podważenie ważności dokumentu, na podstawie którego doszło do dziedziczenia. Sąd zmienia z urzędu orzeczenie o stwierdzeniu nabycia spadku albo uchyla </w:t>
      </w:r>
      <w:r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lastRenderedPageBreak/>
        <w:t>zarejestrowany akt poświadczenia dziedziczenia, jeżeli ulegnie zmianie krąg osób, co do których nabycie spadku zostało już stwierdzone. Ma to miejsce w przypadku uchylenia się od skutków prawnych oświadczenia o przyjęciu lub odrzuceniu spadku.</w:t>
      </w:r>
      <w:r w:rsidR="00531A54"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 xml:space="preserve"> Zatem z</w:t>
      </w:r>
      <w:r w:rsidRPr="00531A54">
        <w:rPr>
          <w:rFonts w:ascii="Book Antiqua" w:eastAsia="Times New Roman" w:hAnsi="Book Antiqua" w:cs="Times New Roman"/>
          <w:b/>
          <w:bCs/>
          <w:color w:val="555555"/>
          <w:sz w:val="24"/>
          <w:szCs w:val="24"/>
          <w:lang w:eastAsia="pl-PL"/>
        </w:rPr>
        <w:t>miana prawomocnego postanowienia o stwierdzeniu nabycia spadku następuje na wniose</w:t>
      </w:r>
      <w:r w:rsidR="00531A54" w:rsidRPr="00531A54">
        <w:rPr>
          <w:rFonts w:ascii="Book Antiqua" w:eastAsia="Times New Roman" w:hAnsi="Book Antiqua" w:cs="Times New Roman"/>
          <w:b/>
          <w:bCs/>
          <w:color w:val="555555"/>
          <w:sz w:val="24"/>
          <w:szCs w:val="24"/>
          <w:lang w:eastAsia="pl-PL"/>
        </w:rPr>
        <w:t>k</w:t>
      </w:r>
      <w:r w:rsidRPr="00531A54">
        <w:rPr>
          <w:rFonts w:ascii="Book Antiqua" w:eastAsia="Times New Roman" w:hAnsi="Book Antiqua" w:cs="Times New Roman"/>
          <w:b/>
          <w:bCs/>
          <w:color w:val="555555"/>
          <w:sz w:val="24"/>
          <w:szCs w:val="24"/>
          <w:lang w:eastAsia="pl-PL"/>
        </w:rPr>
        <w:t xml:space="preserve"> bądź z urzędu.</w:t>
      </w:r>
    </w:p>
    <w:p w14:paraId="7ECA3D2B" w14:textId="77777777" w:rsidR="00804F8D" w:rsidRPr="00531A54" w:rsidRDefault="00804F8D" w:rsidP="00531A54">
      <w:pPr>
        <w:shd w:val="clear" w:color="auto" w:fill="FFFFFF"/>
        <w:spacing w:before="225" w:after="225" w:line="276" w:lineRule="auto"/>
        <w:jc w:val="both"/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</w:pPr>
      <w:r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> </w:t>
      </w:r>
    </w:p>
    <w:p w14:paraId="2F99A8C3" w14:textId="74BE4FA4" w:rsidR="00804F8D" w:rsidRPr="00531A54" w:rsidRDefault="006263C4" w:rsidP="00531A54">
      <w:pPr>
        <w:shd w:val="clear" w:color="auto" w:fill="FFFFFF"/>
        <w:spacing w:after="0" w:line="276" w:lineRule="auto"/>
        <w:jc w:val="both"/>
        <w:outlineLvl w:val="1"/>
        <w:rPr>
          <w:rFonts w:ascii="Book Antiqua" w:eastAsia="Times New Roman" w:hAnsi="Book Antiqua" w:cs="Arial"/>
          <w:b/>
          <w:bCs/>
          <w:color w:val="2C5987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2C5987"/>
          <w:sz w:val="24"/>
          <w:szCs w:val="24"/>
          <w:lang w:eastAsia="pl-PL"/>
        </w:rPr>
        <w:t>4/</w:t>
      </w:r>
      <w:r w:rsidR="00804F8D" w:rsidRPr="00531A54">
        <w:rPr>
          <w:rFonts w:ascii="Book Antiqua" w:eastAsia="Times New Roman" w:hAnsi="Book Antiqua" w:cs="Arial"/>
          <w:b/>
          <w:bCs/>
          <w:color w:val="2C5987"/>
          <w:sz w:val="24"/>
          <w:szCs w:val="24"/>
          <w:lang w:eastAsia="pl-PL"/>
        </w:rPr>
        <w:t>Uprawomocnienie się spadku – konsekwencje i obowiązki spadkodawcy</w:t>
      </w:r>
    </w:p>
    <w:p w14:paraId="34EC0A58" w14:textId="5EC0A38B" w:rsidR="00804F8D" w:rsidRPr="00531A54" w:rsidRDefault="00804F8D" w:rsidP="00531A54">
      <w:pPr>
        <w:shd w:val="clear" w:color="auto" w:fill="FFFFFF"/>
        <w:spacing w:before="225" w:after="225" w:line="276" w:lineRule="auto"/>
        <w:jc w:val="both"/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</w:pPr>
      <w:r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>Jak już</w:t>
      </w:r>
      <w:r w:rsidR="00531A54"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 xml:space="preserve"> zostało wskazane powyżej p</w:t>
      </w:r>
      <w:r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>rawomocne postanowienie o stwierdzeniu nabycia spadku albo zarejestrowany akt poświadczenia dziedziczenia stwarza domniemanie prawne, że osoba, która je uzyskała, jest spadkobiercą.</w:t>
      </w:r>
      <w:r w:rsidR="00531A54"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 xml:space="preserve"> Wywołuje to</w:t>
      </w:r>
      <w:r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 xml:space="preserve"> skutek, że osobie uprawnionej przysługują prawa, ale też ciążą na niej stosowne obowiązki. Jednym z nich jest obowiązek podatkowy, wynikający z ustawy o podatku od spadków i darowizn. Sąd oraz notariusz są bowiem zobowiązani przekazywać informacje do urzędu skarbowego o nabyciu spadku przez określone osoby. Generalnie osoby takie będą zobowiązane złożyć, w terminie miesiąca od dnia powstania obowiązku podatkowego – którym jest przyjęcie spadku – właściwemu naczelnikowi urzędu skarbowego zeznanie podatkowe o nabyciu rzeczy lub praw majątkowych według ustalonego wzoru. Jest to druk SD-3. Natomiast w stosunku do członków najbliższej rodziny, zaliczonej do I grupy podatkowej ustawa przewiduje możliwość zwolnienia od podatku, jeżeli zgłoszą nabycie własności rzeczy lub praw majątkowych właściwemu naczelnikowi urzędu skarbowego w terminie 6 miesięcy od dnia uprawomocnienia się orzeczenia sądu stwierdzającego nabycie spadku. Dotyczy to małżonka, zstępnych, wstępnych, pasierba, rodzeństwa, ojczyma i macochy. Dokonuje się tego na druku SD-Z2. Niedokonanie zgłoszenia w powyższym terminie powoduje opodatkowanie na zasadach ogólnych. Zgłoszenie nie dotyczy majątku o wartości nieprzekraczającej 9637 zł, nabytego po danej osobie w okresie 5 lat poprzedzających rok, w którym nastąpiło ostatnie nabycie.</w:t>
      </w:r>
    </w:p>
    <w:p w14:paraId="1F4EE5A3" w14:textId="30CC6566" w:rsidR="00531A54" w:rsidRPr="00531A54" w:rsidRDefault="00531A54" w:rsidP="00531A54">
      <w:pPr>
        <w:shd w:val="clear" w:color="auto" w:fill="FFFFFF"/>
        <w:spacing w:before="225" w:after="225" w:line="276" w:lineRule="auto"/>
        <w:jc w:val="both"/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</w:pPr>
    </w:p>
    <w:p w14:paraId="2C5AC2F6" w14:textId="77777777" w:rsidR="00531A54" w:rsidRPr="00531A54" w:rsidRDefault="00531A54" w:rsidP="00531A54">
      <w:pPr>
        <w:shd w:val="clear" w:color="auto" w:fill="FFFFFF"/>
        <w:spacing w:before="225" w:after="225" w:line="276" w:lineRule="auto"/>
        <w:jc w:val="both"/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</w:pPr>
    </w:p>
    <w:p w14:paraId="6182453A" w14:textId="6355C7C0" w:rsidR="00A55ED0" w:rsidRPr="00531A54" w:rsidRDefault="00531A54" w:rsidP="000C0688">
      <w:pPr>
        <w:shd w:val="clear" w:color="auto" w:fill="FFFFFF"/>
        <w:spacing w:after="0" w:line="276" w:lineRule="auto"/>
        <w:jc w:val="center"/>
        <w:rPr>
          <w:rFonts w:ascii="Book Antiqua" w:hAnsi="Book Antiqua"/>
          <w:sz w:val="24"/>
          <w:szCs w:val="24"/>
        </w:rPr>
      </w:pPr>
      <w:r w:rsidRPr="00531A54">
        <w:rPr>
          <w:rFonts w:ascii="Book Antiqua" w:eastAsia="Times New Roman" w:hAnsi="Book Antiqua" w:cs="Times New Roman"/>
          <w:color w:val="555555"/>
          <w:sz w:val="24"/>
          <w:szCs w:val="24"/>
          <w:lang w:eastAsia="pl-PL"/>
        </w:rPr>
        <w:t>adw. Magdalena Borys</w:t>
      </w:r>
    </w:p>
    <w:sectPr w:rsidR="00A55ED0" w:rsidRPr="0053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4C3A"/>
    <w:multiLevelType w:val="multilevel"/>
    <w:tmpl w:val="3F92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E151C"/>
    <w:multiLevelType w:val="multilevel"/>
    <w:tmpl w:val="08981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93C53"/>
    <w:multiLevelType w:val="multilevel"/>
    <w:tmpl w:val="E8AA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246CE"/>
    <w:multiLevelType w:val="multilevel"/>
    <w:tmpl w:val="34D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053467">
    <w:abstractNumId w:val="0"/>
  </w:num>
  <w:num w:numId="2" w16cid:durableId="180321491">
    <w:abstractNumId w:val="3"/>
  </w:num>
  <w:num w:numId="3" w16cid:durableId="97256200">
    <w:abstractNumId w:val="2"/>
  </w:num>
  <w:num w:numId="4" w16cid:durableId="198055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D0"/>
    <w:rsid w:val="000C0688"/>
    <w:rsid w:val="00106A98"/>
    <w:rsid w:val="00181E7B"/>
    <w:rsid w:val="00531A54"/>
    <w:rsid w:val="006263C4"/>
    <w:rsid w:val="00804F8D"/>
    <w:rsid w:val="00A55ED0"/>
    <w:rsid w:val="00B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BB93"/>
  <w15:chartTrackingRefBased/>
  <w15:docId w15:val="{A6CEE57B-CFE9-40B0-A872-5403F819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4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9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5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568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822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single" w:sz="12" w:space="0" w:color="2C598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855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single" w:sz="12" w:space="0" w:color="2C598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4595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single" w:sz="12" w:space="0" w:color="2C598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797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0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72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7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1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96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30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9690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47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2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5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8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5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6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58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16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3924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36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914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347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4338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71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272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797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833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826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14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27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4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3153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01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1450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0871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5464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6797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214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dpowiedziprawne.pl/-odrzucenie-spad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2022-11-30T11:00:00Z</cp:lastPrinted>
  <dcterms:created xsi:type="dcterms:W3CDTF">2022-11-16T14:30:00Z</dcterms:created>
  <dcterms:modified xsi:type="dcterms:W3CDTF">2022-12-02T10:01:00Z</dcterms:modified>
</cp:coreProperties>
</file>