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BBB7B" w14:textId="6AEDD039" w:rsidR="00F21744" w:rsidRPr="00CA4C24" w:rsidRDefault="00F21744" w:rsidP="00627292">
      <w:pPr>
        <w:pBdr>
          <w:bottom w:val="single" w:sz="6" w:space="15" w:color="F1F1F1"/>
        </w:pBdr>
        <w:spacing w:after="225"/>
        <w:jc w:val="center"/>
        <w:textAlignment w:val="baseline"/>
        <w:outlineLvl w:val="1"/>
        <w:rPr>
          <w:rFonts w:ascii="Book Antiqua" w:eastAsia="Times New Roman" w:hAnsi="Book Antiqua" w:cs="Times New Roman"/>
          <w:b/>
          <w:bCs/>
          <w:color w:val="333333"/>
          <w:spacing w:val="9"/>
          <w:sz w:val="28"/>
          <w:szCs w:val="28"/>
        </w:rPr>
      </w:pPr>
      <w:r w:rsidRPr="00CA4C24">
        <w:rPr>
          <w:rFonts w:ascii="Book Antiqua" w:eastAsia="Times New Roman" w:hAnsi="Book Antiqua" w:cs="Times New Roman"/>
          <w:b/>
          <w:bCs/>
          <w:color w:val="333333"/>
          <w:spacing w:val="9"/>
          <w:sz w:val="28"/>
          <w:szCs w:val="28"/>
        </w:rPr>
        <w:t>Warunkowe umorzenie postępowania</w:t>
      </w:r>
    </w:p>
    <w:p w14:paraId="7FE40012" w14:textId="2FF8CE1D" w:rsidR="00F21744" w:rsidRPr="00CA4C24" w:rsidRDefault="00CA4C24" w:rsidP="00627292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>Istota</w:t>
      </w:r>
      <w:r w:rsidR="00F21744" w:rsidRP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 xml:space="preserve"> warunkowe</w:t>
      </w:r>
      <w:r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>go</w:t>
      </w:r>
      <w:r w:rsidR="00F21744" w:rsidRP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 xml:space="preserve"> umorzeni</w:t>
      </w:r>
      <w:r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>a</w:t>
      </w:r>
      <w:r w:rsidR="00627292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 xml:space="preserve"> postępowania karnego</w:t>
      </w:r>
      <w:bookmarkStart w:id="0" w:name="_GoBack"/>
      <w:bookmarkEnd w:id="0"/>
    </w:p>
    <w:p w14:paraId="5B7C71C1" w14:textId="77777777" w:rsidR="00CA4C24" w:rsidRPr="00CA4C24" w:rsidRDefault="00CA4C24" w:rsidP="00627292">
      <w:pPr>
        <w:pStyle w:val="Akapitzlist"/>
        <w:shd w:val="clear" w:color="auto" w:fill="FFFFFF"/>
        <w:spacing w:after="0"/>
        <w:ind w:left="108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</w:p>
    <w:p w14:paraId="68E3C10E" w14:textId="6E00749B" w:rsidR="00F21744" w:rsidRDefault="00F21744" w:rsidP="00627292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            Warunkowe umorzenie postępowania jest jednym ze środków związanych z poddaniem próbie sprawcy czynu zabronionego oraz jednym ze sposobów zakończenia procesu karnego. Instytucja ta uregulowana została w przepisie art. 66 ustawy z dnia 06.06.1997 r. Kodeks karny, zgodnie z którym</w:t>
      </w:r>
      <w:proofErr w:type="gramStart"/>
      <w:r w:rsidR="00627292">
        <w:rPr>
          <w:rFonts w:ascii="Book Antiqua" w:eastAsia="Times New Roman" w:hAnsi="Book Antiqua" w:cs="Times New Roman"/>
          <w:color w:val="4A4A4A"/>
          <w:sz w:val="24"/>
          <w:szCs w:val="24"/>
        </w:rPr>
        <w:t>:</w:t>
      </w: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 </w:t>
      </w:r>
      <w:r w:rsidR="00627292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</w:t>
      </w:r>
      <w:r w:rsidR="00627292">
        <w:rPr>
          <w:rFonts w:ascii="Book Antiqua" w:eastAsia="Times New Roman" w:hAnsi="Book Antiqua" w:cs="Times New Roman"/>
          <w:i/>
          <w:iCs/>
          <w:color w:val="4A4A4A"/>
          <w:sz w:val="24"/>
          <w:szCs w:val="24"/>
        </w:rPr>
        <w:t>S</w:t>
      </w:r>
      <w:r w:rsidRPr="00CA4C24">
        <w:rPr>
          <w:rFonts w:ascii="Book Antiqua" w:eastAsia="Times New Roman" w:hAnsi="Book Antiqua" w:cs="Times New Roman"/>
          <w:i/>
          <w:iCs/>
          <w:color w:val="4A4A4A"/>
          <w:sz w:val="24"/>
          <w:szCs w:val="24"/>
        </w:rPr>
        <w:t>ąd</w:t>
      </w:r>
      <w:proofErr w:type="gramEnd"/>
      <w:r w:rsidRPr="00CA4C24">
        <w:rPr>
          <w:rFonts w:ascii="Book Antiqua" w:eastAsia="Times New Roman" w:hAnsi="Book Antiqua" w:cs="Times New Roman"/>
          <w:i/>
          <w:iCs/>
          <w:color w:val="4A4A4A"/>
          <w:sz w:val="24"/>
          <w:szCs w:val="24"/>
        </w:rPr>
        <w:t xml:space="preserve"> może warunkowo umorzyć postępowanie karne, jeżeli wina i społeczna szkodliwość czynu nie są znaczne, okoliczności jego popełnienia nie budzą wątpliwości, a postawa sprawcy nie karanego za przestępstwo umyślne, jego właściwości i warunki osobiste oraz dotychczasowy sposób życia uzasadniają przypuszczenie, że pomimo umorzenia postępowania będzie przestrzegał porządku prawnego, w szczególności nie popełni przestępstwa.</w:t>
      </w: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 Prościej rzecz ujmując, aby doprowadzić do warunkowego umorzenia postępowania sprawca musi przekonać sąd, że jego dotychczasowy styl życia oraz jego zachowanie po popełnieniu czynu zabronionego dają duże prawdopodobieństwo, że w przyszłości nie wejdzie ponownie w konflikt z prawem.</w:t>
      </w:r>
    </w:p>
    <w:p w14:paraId="56B8F231" w14:textId="77777777" w:rsidR="00CA4C24" w:rsidRPr="00CA4C24" w:rsidRDefault="00CA4C24" w:rsidP="00627292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</w:p>
    <w:p w14:paraId="04721313" w14:textId="5B4E84D1" w:rsidR="00F21744" w:rsidRPr="00CA4C2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            Uzyskanie wyroku warunkowo umarzającego postępowanie jest rozwiązaniem korzystnym  dla sprawcy, któremu zdarzyło się incydentalnie złamać porządek prawny. W efekcie</w:t>
      </w:r>
      <w:r w:rsidR="00627292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końcowym nie zostaje </w:t>
      </w:r>
      <w:proofErr w:type="gramStart"/>
      <w:r w:rsidR="00627292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mu </w:t>
      </w: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bowiem</w:t>
      </w:r>
      <w:proofErr w:type="gramEnd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wymierzona kara, jak też w dalszym ciągu może cieszyć się statusem osoby niekaranej.</w:t>
      </w:r>
    </w:p>
    <w:p w14:paraId="27528357" w14:textId="2BAA4BEB" w:rsidR="00F21744" w:rsidRPr="00CA4C24" w:rsidRDefault="00CA4C24" w:rsidP="00627292">
      <w:pPr>
        <w:pStyle w:val="Akapitzlist"/>
        <w:numPr>
          <w:ilvl w:val="0"/>
          <w:numId w:val="3"/>
        </w:num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 xml:space="preserve">Podmioty uprawnione do </w:t>
      </w:r>
      <w:r w:rsidR="00F21744" w:rsidRP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>wniosko</w:t>
      </w:r>
      <w:r w:rsidRP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>wania</w:t>
      </w:r>
      <w:r w:rsidR="00F21744" w:rsidRP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 xml:space="preserve"> o wydanie wyroku warunkowo umarzającego</w:t>
      </w:r>
      <w:r w:rsidRP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 xml:space="preserve"> </w:t>
      </w:r>
      <w:r w:rsidR="00F21744" w:rsidRP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>postępowanie</w:t>
      </w:r>
    </w:p>
    <w:p w14:paraId="2385665E" w14:textId="2C6D9BC4" w:rsidR="00F21744" w:rsidRPr="00CA4C2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            </w:t>
      </w:r>
      <w:r w:rsidR="00CA4C24">
        <w:rPr>
          <w:rFonts w:ascii="Book Antiqua" w:eastAsia="Times New Roman" w:hAnsi="Book Antiqua" w:cs="Times New Roman"/>
          <w:color w:val="4A4A4A"/>
          <w:sz w:val="24"/>
          <w:szCs w:val="24"/>
        </w:rPr>
        <w:t>Przede wszystkim sam</w:t>
      </w: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sprawca może złożyć wniosek o warunkowe umorzenie postępowania wobec niego. Zdarza się także, że taki wniosek składany jest przez prokuratora zamiast aktu oskarżenia. Natomiast brak wniosku zarówno ze strony prokuratora, jak i sprawcy nie stoi na przeszkodzie do warunkowego umorzenia postępowania przez sąd, który uzna, że zostały ku temu spełnione przesłanki, jak też w stosunku do sprawcy zachodzi pozytywna prognoza kryminologiczna.</w:t>
      </w:r>
    </w:p>
    <w:p w14:paraId="4FB4DBBF" w14:textId="77777777" w:rsidR="00F21744" w:rsidRPr="00CA4C2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III.      </w:t>
      </w:r>
      <w:r w:rsidRP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>Przesłanki warunkowego umorzenia postępowania.</w:t>
      </w:r>
    </w:p>
    <w:p w14:paraId="685EFFAF" w14:textId="4089AA1E" w:rsidR="00F21744" w:rsidRPr="00CA4C2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            Przesłanki warunkowego umorzenia postępowania mają zamknięty katalog, ściśle określony przez treść ar</w:t>
      </w:r>
      <w:r w:rsidR="00627292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t. 66 Kodeksu karnego. Sąd </w:t>
      </w:r>
      <w:proofErr w:type="gramStart"/>
      <w:r w:rsidR="00627292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może </w:t>
      </w: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zatem</w:t>
      </w:r>
      <w:proofErr w:type="gramEnd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warunkowo umorzyć postępowanie wobec sprawcy, jeżeli:</w:t>
      </w:r>
    </w:p>
    <w:p w14:paraId="1F83B97D" w14:textId="77777777" w:rsidR="00F21744" w:rsidRPr="00CA4C24" w:rsidRDefault="00F21744" w:rsidP="00627292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proofErr w:type="gramStart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wina</w:t>
      </w:r>
      <w:proofErr w:type="gramEnd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i społeczna szkodliwość czynu nie są znaczne,</w:t>
      </w:r>
    </w:p>
    <w:p w14:paraId="1B6FACE1" w14:textId="77777777" w:rsidR="00F21744" w:rsidRPr="00CA4C24" w:rsidRDefault="00F21744" w:rsidP="00627292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proofErr w:type="gramStart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lastRenderedPageBreak/>
        <w:t>okoliczności</w:t>
      </w:r>
      <w:proofErr w:type="gramEnd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popełnienia czynu nie budzą wątpliwości,</w:t>
      </w:r>
    </w:p>
    <w:p w14:paraId="2647FD9F" w14:textId="2E731587" w:rsidR="00F21744" w:rsidRPr="00CA4C24" w:rsidRDefault="00F21744" w:rsidP="00627292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proofErr w:type="gramStart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postawa</w:t>
      </w:r>
      <w:proofErr w:type="gramEnd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sprawcy niekaranego za przestępstwo umyślne, jego właściwości i warunki osobiste oraz dotychczasowy sposób życia uzasadniają przypuszczenie, że pomimo umorzenia postępowania będzie przestrzegał porządku prawnego, w szczególności nie popełni przestępstwa</w:t>
      </w:r>
      <w:r w:rsidR="00CA4C24">
        <w:rPr>
          <w:rFonts w:ascii="Book Antiqua" w:eastAsia="Times New Roman" w:hAnsi="Book Antiqua" w:cs="Times New Roman"/>
          <w:color w:val="4A4A4A"/>
          <w:sz w:val="24"/>
          <w:szCs w:val="24"/>
        </w:rPr>
        <w:t>;</w:t>
      </w:r>
    </w:p>
    <w:p w14:paraId="7419898B" w14:textId="1DC5573B" w:rsidR="00CA4C24" w:rsidRDefault="00F21744" w:rsidP="00627292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proofErr w:type="gramStart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warunkowe</w:t>
      </w:r>
      <w:proofErr w:type="gramEnd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umorzenie postępowania można zastosować wobec sprawcy przestępstwa zagrożonego karą do 5 lat pozbawienia wolności.</w:t>
      </w:r>
    </w:p>
    <w:p w14:paraId="36B03139" w14:textId="77777777" w:rsidR="00CA4C24" w:rsidRPr="00CA4C24" w:rsidRDefault="00CA4C24" w:rsidP="00627292">
      <w:pPr>
        <w:shd w:val="clear" w:color="auto" w:fill="FFFFFF"/>
        <w:spacing w:after="0"/>
        <w:ind w:left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</w:p>
    <w:p w14:paraId="5B435F5D" w14:textId="5FB1B895" w:rsidR="00F21744" w:rsidRPr="00CA4C24" w:rsidRDefault="00CA4C24" w:rsidP="00627292">
      <w:pPr>
        <w:pStyle w:val="Akapitzlist"/>
        <w:numPr>
          <w:ilvl w:val="2"/>
          <w:numId w:val="2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>S</w:t>
      </w:r>
      <w:r w:rsidR="00F21744" w:rsidRP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>kutki warunkowego umorzenia postępowania</w:t>
      </w:r>
    </w:p>
    <w:p w14:paraId="59D0D793" w14:textId="77777777" w:rsidR="00CA4C24" w:rsidRPr="00CA4C24" w:rsidRDefault="00CA4C24" w:rsidP="00627292">
      <w:pPr>
        <w:pStyle w:val="Akapitzlist"/>
        <w:shd w:val="clear" w:color="auto" w:fill="FFFFFF"/>
        <w:spacing w:after="0"/>
        <w:ind w:left="108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</w:p>
    <w:p w14:paraId="42AE644D" w14:textId="77777777" w:rsidR="00F21744" w:rsidRPr="00CA4C2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            W skrócie skutki warunkowego umorzenia postępowania karnego przedstawiają się następująco:</w:t>
      </w:r>
    </w:p>
    <w:p w14:paraId="374ABEEE" w14:textId="77777777" w:rsidR="00F21744" w:rsidRPr="00CA4C2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1.         </w:t>
      </w:r>
      <w:proofErr w:type="gramStart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sąd</w:t>
      </w:r>
      <w:proofErr w:type="gramEnd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stwierdza winę sprawcy,</w:t>
      </w:r>
    </w:p>
    <w:p w14:paraId="498B8BF3" w14:textId="77777777" w:rsidR="00F21744" w:rsidRPr="00CA4C2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2.         </w:t>
      </w:r>
      <w:proofErr w:type="gramStart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sprawcy</w:t>
      </w:r>
      <w:proofErr w:type="gramEnd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nie zostaje wymierzona kara,</w:t>
      </w:r>
    </w:p>
    <w:p w14:paraId="0984BACE" w14:textId="77777777" w:rsidR="00F21744" w:rsidRPr="00CA4C2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3.         </w:t>
      </w:r>
      <w:proofErr w:type="gramStart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sprawca</w:t>
      </w:r>
      <w:proofErr w:type="gramEnd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pozostaje osobą niekaraną w świetle prawa,</w:t>
      </w:r>
    </w:p>
    <w:p w14:paraId="43FF15ED" w14:textId="7014BFEE" w:rsidR="00F21744" w:rsidRPr="00CA4C2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4.         </w:t>
      </w:r>
      <w:proofErr w:type="gramStart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sąd</w:t>
      </w:r>
      <w:proofErr w:type="gramEnd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poddaje sprawcę próbie i ustala okres próby, który wynosi od roku do lat</w:t>
      </w:r>
      <w:r w:rsid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trzech;</w:t>
      </w:r>
    </w:p>
    <w:p w14:paraId="09D7B4AF" w14:textId="771D23D1" w:rsidR="00F21744" w:rsidRPr="00CA4C2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5.         </w:t>
      </w:r>
      <w:proofErr w:type="gramStart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sąd</w:t>
      </w:r>
      <w:proofErr w:type="gramEnd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może w okresie próby oddać sprawcę pod dozór kuratora lub osoby godnej zaufania,</w:t>
      </w:r>
      <w:r w:rsid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</w:t>
      </w: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stowarzyszenia, instytucji albo organizacji społecznej, do której działalności należy troska o</w:t>
      </w:r>
      <w:r w:rsid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</w:t>
      </w: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wychowanie, zapobieganie demoraliz</w:t>
      </w:r>
      <w:r w:rsidR="00627292">
        <w:rPr>
          <w:rFonts w:ascii="Book Antiqua" w:eastAsia="Times New Roman" w:hAnsi="Book Antiqua" w:cs="Times New Roman"/>
          <w:color w:val="4A4A4A"/>
          <w:sz w:val="24"/>
          <w:szCs w:val="24"/>
        </w:rPr>
        <w:t>acji lub pomoc skazanym;</w:t>
      </w:r>
    </w:p>
    <w:p w14:paraId="333B4A3C" w14:textId="2FF01820" w:rsidR="00F21744" w:rsidRPr="00CA4C24" w:rsidRDefault="00627292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>
        <w:rPr>
          <w:rFonts w:ascii="Book Antiqua" w:eastAsia="Times New Roman" w:hAnsi="Book Antiqua" w:cs="Times New Roman"/>
          <w:color w:val="4A4A4A"/>
          <w:sz w:val="24"/>
          <w:szCs w:val="24"/>
        </w:rPr>
        <w:t>6</w:t>
      </w:r>
      <w:r w:rsidR="00F21744"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.       </w:t>
      </w:r>
      <w:proofErr w:type="gramStart"/>
      <w:r w:rsidR="00F21744"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sąd</w:t>
      </w:r>
      <w:proofErr w:type="gramEnd"/>
      <w:r w:rsidR="00F21744"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nakłada na oskarżonego obowiązek naprawienia szkody, zadośćuczynienia albo nawiązki, ponadto może orzec świadczenie pieniężne.</w:t>
      </w:r>
    </w:p>
    <w:p w14:paraId="049B9D2B" w14:textId="16EED073" w:rsidR="00F21744" w:rsidRDefault="00F21744" w:rsidP="00627292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 xml:space="preserve">V.        </w:t>
      </w:r>
      <w:r w:rsid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 xml:space="preserve">Podjęcie </w:t>
      </w:r>
      <w:r w:rsidRP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>warunkowo umorzone</w:t>
      </w:r>
      <w:r w:rsid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>go</w:t>
      </w:r>
      <w:r w:rsidRP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 xml:space="preserve"> postępow</w:t>
      </w:r>
      <w:r w:rsid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>ania</w:t>
      </w:r>
    </w:p>
    <w:p w14:paraId="1E57E72E" w14:textId="77777777" w:rsidR="00CA4C24" w:rsidRPr="00CA4C24" w:rsidRDefault="00CA4C24" w:rsidP="00627292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</w:p>
    <w:p w14:paraId="60E92507" w14:textId="6B6CF70C" w:rsidR="00F21744" w:rsidRPr="00CA4C2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            N</w:t>
      </w:r>
      <w:r w:rsid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ależy podkreślić, jeżeli </w:t>
      </w: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w okresie próby sprawca popełni przestępstwo umyślne, za które zostanie prawomocnie skazany, sąd będzie musiał podjąć postępowanie karne, które warunkowo umorzył.</w:t>
      </w:r>
    </w:p>
    <w:p w14:paraId="6B3E7666" w14:textId="77777777" w:rsidR="00F21744" w:rsidRPr="00CA4C2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            Ponadto sąd będzie mógł podjąć postępowanie, jeżeli sprawca w okresie próby rażąco narusza porządek prawny, w </w:t>
      </w:r>
      <w:proofErr w:type="gramStart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szczególności gdy</w:t>
      </w:r>
      <w:proofErr w:type="gramEnd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popełnił inne niż określone powyżej przestępstwo, jeżeli uchyla się od dozoru, wykonania nałożonego obowiązku lub orzeczonego środka karnego, środka kompensacyjnego lub przepadku albo nie wykonuje zawartej z pokrzywdzonym ugody.</w:t>
      </w:r>
    </w:p>
    <w:p w14:paraId="565126BB" w14:textId="77777777" w:rsidR="00F21744" w:rsidRPr="00CA4C2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lastRenderedPageBreak/>
        <w:t xml:space="preserve">            Sąd może również podjąć postępowanie karne, jeżeli sprawca po wydaniu orzeczenia o warunkowym umorzeniu postępowania, lecz przed jego uprawomocnieniem się, rażąco narusza porządek prawny, a w </w:t>
      </w:r>
      <w:proofErr w:type="gramStart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szczególności gdy</w:t>
      </w:r>
      <w:proofErr w:type="gramEnd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w tym czasie popełnił przestępstwo.</w:t>
      </w:r>
    </w:p>
    <w:p w14:paraId="0247C18F" w14:textId="7392478B" w:rsidR="00F21744" w:rsidRDefault="00627292" w:rsidP="00627292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>VI.      K</w:t>
      </w:r>
      <w:r w:rsidR="00F21744" w:rsidRPr="00CA4C24"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>orzyści war</w:t>
      </w:r>
      <w:r>
        <w:rPr>
          <w:rFonts w:ascii="Book Antiqua" w:eastAsia="Times New Roman" w:hAnsi="Book Antiqua" w:cs="Times New Roman"/>
          <w:b/>
          <w:bCs/>
          <w:color w:val="4A4A4A"/>
          <w:sz w:val="24"/>
          <w:szCs w:val="24"/>
        </w:rPr>
        <w:t>unkowego umorzenia postępowania</w:t>
      </w:r>
    </w:p>
    <w:p w14:paraId="4DCF9C8D" w14:textId="77777777" w:rsidR="00627292" w:rsidRPr="00CA4C24" w:rsidRDefault="00627292" w:rsidP="00627292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</w:p>
    <w:p w14:paraId="15D93476" w14:textId="77777777" w:rsidR="00F21744" w:rsidRPr="00CA4C2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            Niewątpliwie największą korzyścią jest brak kary. Sprawca nie </w:t>
      </w:r>
      <w:proofErr w:type="gramStart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musi zatem</w:t>
      </w:r>
      <w:proofErr w:type="gramEnd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mierzyć się z dolegliwościami, jakie niesie za sobą wykonanie kary grzywny, ograniczenia wolności, a już w szczególności kary pozbawienia wolności. Sąd przyznaje sprawcy kredyt zaufania uznając, że sam fakt toczącego się przeciwko niemu postępowania karnego był wystarczającą dolegliwością.</w:t>
      </w:r>
    </w:p>
    <w:p w14:paraId="48BE5E79" w14:textId="77777777" w:rsidR="00F21744" w:rsidRPr="00CA4C2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            Korzystna jest również okoliczność utrzymania przez sprawcę statusu osoby niekaranej. Będzie on mógł bez przeszkód uzyskać zaświadczenie o swojej niekaralności, które niekiedy wymagane jest do wykonywania określonego zawodu bądź funkcji.</w:t>
      </w:r>
    </w:p>
    <w:p w14:paraId="4A3B1D00" w14:textId="77D0B9E3" w:rsidR="00F21744" w:rsidRDefault="00F21744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            Z powyższego wynika, że warunkowe umorzenie postępowania, nie licząc oczywiście wyroku uniewinniającego, jest rozwiązaniem niezwykle korzystnym dla sprawcy czynu zabronionego. Dzięki takiemu rozstrzygnięciu fakt popełnienia pr</w:t>
      </w:r>
      <w:r w:rsidR="00627292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zestępstwa potraktowany </w:t>
      </w:r>
      <w:proofErr w:type="gramStart"/>
      <w:r w:rsidR="00627292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zostaje </w:t>
      </w: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bowiem</w:t>
      </w:r>
      <w:proofErr w:type="gramEnd"/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jako przykry incydent i nie niesie ze sobą dolegliwych skutków prawnych, jak ma to miejsce w przypadku skazania. </w:t>
      </w:r>
    </w:p>
    <w:p w14:paraId="28DA46EA" w14:textId="77777777" w:rsidR="00627292" w:rsidRDefault="00627292" w:rsidP="00627292">
      <w:pPr>
        <w:shd w:val="clear" w:color="auto" w:fill="FFFFFF"/>
        <w:spacing w:after="300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</w:p>
    <w:p w14:paraId="60BB18D3" w14:textId="71BD0E3B" w:rsidR="00627292" w:rsidRPr="00CA4C24" w:rsidRDefault="00627292" w:rsidP="00627292">
      <w:pPr>
        <w:shd w:val="clear" w:color="auto" w:fill="FFFFFF"/>
        <w:spacing w:after="300"/>
        <w:jc w:val="center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proofErr w:type="gramStart"/>
      <w:r>
        <w:rPr>
          <w:rFonts w:ascii="Book Antiqua" w:eastAsia="Times New Roman" w:hAnsi="Book Antiqua" w:cs="Times New Roman"/>
          <w:color w:val="4A4A4A"/>
          <w:sz w:val="24"/>
          <w:szCs w:val="24"/>
        </w:rPr>
        <w:t>adw</w:t>
      </w:r>
      <w:proofErr w:type="gramEnd"/>
      <w:r>
        <w:rPr>
          <w:rFonts w:ascii="Book Antiqua" w:eastAsia="Times New Roman" w:hAnsi="Book Antiqua" w:cs="Times New Roman"/>
          <w:color w:val="4A4A4A"/>
          <w:sz w:val="24"/>
          <w:szCs w:val="24"/>
        </w:rPr>
        <w:t>. Magdalena Borys</w:t>
      </w:r>
    </w:p>
    <w:p w14:paraId="58D4690F" w14:textId="77777777" w:rsidR="00F21744" w:rsidRPr="00CA4C24" w:rsidRDefault="00F21744" w:rsidP="00627292">
      <w:pPr>
        <w:shd w:val="clear" w:color="auto" w:fill="FFFFFF"/>
        <w:jc w:val="both"/>
        <w:textAlignment w:val="baseline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CA4C24">
        <w:rPr>
          <w:rFonts w:ascii="Book Antiqua" w:eastAsia="Times New Roman" w:hAnsi="Book Antiqua" w:cs="Times New Roman"/>
          <w:color w:val="4A4A4A"/>
          <w:sz w:val="24"/>
          <w:szCs w:val="24"/>
        </w:rPr>
        <w:t> </w:t>
      </w:r>
    </w:p>
    <w:p w14:paraId="67CF390B" w14:textId="77777777" w:rsidR="005A23D7" w:rsidRPr="00CA4C24" w:rsidRDefault="005A23D7" w:rsidP="00627292">
      <w:pPr>
        <w:jc w:val="both"/>
        <w:rPr>
          <w:rFonts w:ascii="Book Antiqua" w:hAnsi="Book Antiqua"/>
          <w:sz w:val="24"/>
          <w:szCs w:val="24"/>
        </w:rPr>
      </w:pPr>
    </w:p>
    <w:p w14:paraId="3DF92442" w14:textId="77777777" w:rsidR="00CA4C24" w:rsidRPr="00CA4C24" w:rsidRDefault="00CA4C24" w:rsidP="00627292">
      <w:pPr>
        <w:jc w:val="both"/>
        <w:rPr>
          <w:rFonts w:ascii="Book Antiqua" w:hAnsi="Book Antiqua"/>
          <w:sz w:val="24"/>
          <w:szCs w:val="24"/>
        </w:rPr>
      </w:pPr>
    </w:p>
    <w:sectPr w:rsidR="00CA4C24" w:rsidRPr="00CA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F51"/>
    <w:multiLevelType w:val="hybridMultilevel"/>
    <w:tmpl w:val="A5984966"/>
    <w:lvl w:ilvl="0" w:tplc="9F169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63B0"/>
    <w:multiLevelType w:val="multilevel"/>
    <w:tmpl w:val="EA86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679BF"/>
    <w:multiLevelType w:val="multilevel"/>
    <w:tmpl w:val="9D82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1744"/>
    <w:rsid w:val="005A23D7"/>
    <w:rsid w:val="00627292"/>
    <w:rsid w:val="00CA4C24"/>
    <w:rsid w:val="00F2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2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21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17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creen-reader-text">
    <w:name w:val="screen-reader-text"/>
    <w:basedOn w:val="Domylnaczcionkaakapitu"/>
    <w:rsid w:val="00F21744"/>
  </w:style>
  <w:style w:type="character" w:styleId="Hipercze">
    <w:name w:val="Hyperlink"/>
    <w:basedOn w:val="Domylnaczcionkaakapitu"/>
    <w:uiPriority w:val="99"/>
    <w:semiHidden/>
    <w:unhideWhenUsed/>
    <w:rsid w:val="00F2174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1744"/>
    <w:rPr>
      <w:b/>
      <w:bCs/>
    </w:rPr>
  </w:style>
  <w:style w:type="character" w:styleId="Uwydatnienie">
    <w:name w:val="Emphasis"/>
    <w:basedOn w:val="Domylnaczcionkaakapitu"/>
    <w:uiPriority w:val="20"/>
    <w:qFormat/>
    <w:rsid w:val="00F21744"/>
    <w:rPr>
      <w:i/>
      <w:iCs/>
    </w:rPr>
  </w:style>
  <w:style w:type="paragraph" w:styleId="Akapitzlist">
    <w:name w:val="List Paragraph"/>
    <w:basedOn w:val="Normalny"/>
    <w:uiPriority w:val="34"/>
    <w:qFormat/>
    <w:rsid w:val="00CA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Kancelaria</cp:lastModifiedBy>
  <cp:revision>4</cp:revision>
  <cp:lastPrinted>2022-12-29T09:41:00Z</cp:lastPrinted>
  <dcterms:created xsi:type="dcterms:W3CDTF">2022-12-14T16:28:00Z</dcterms:created>
  <dcterms:modified xsi:type="dcterms:W3CDTF">2022-12-29T09:47:00Z</dcterms:modified>
</cp:coreProperties>
</file>