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159DA7A4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9A7CC6">
        <w:rPr>
          <w:rFonts w:ascii="Arial" w:eastAsia="Times New Roman" w:hAnsi="Arial" w:cs="Arial"/>
          <w:b/>
          <w:lang w:eastAsia="pl-PL"/>
        </w:rPr>
        <w:t>1</w:t>
      </w:r>
      <w:r w:rsidR="001877B3">
        <w:rPr>
          <w:rFonts w:ascii="Arial" w:eastAsia="Times New Roman" w:hAnsi="Arial" w:cs="Arial"/>
          <w:b/>
          <w:lang w:eastAsia="pl-PL"/>
        </w:rPr>
        <w:t>021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AB4D0A">
        <w:rPr>
          <w:rFonts w:ascii="Arial" w:eastAsia="Times New Roman" w:hAnsi="Arial" w:cs="Arial"/>
          <w:b/>
          <w:lang w:eastAsia="pl-PL"/>
        </w:rPr>
        <w:t>1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67E0E981" w14:textId="4A03F4F5" w:rsidR="00D733FD" w:rsidRPr="00D733FD" w:rsidRDefault="00314ECB" w:rsidP="00D733FD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3780359"/>
      <w:r w:rsidRPr="00180F34">
        <w:rPr>
          <w:rFonts w:ascii="Arial" w:hAnsi="Arial" w:cs="Arial"/>
        </w:rPr>
        <w:t xml:space="preserve">Na </w:t>
      </w:r>
      <w:r w:rsidR="009A7CC6" w:rsidRPr="00D733FD">
        <w:rPr>
          <w:rFonts w:ascii="Arial" w:hAnsi="Arial" w:cs="Arial"/>
          <w:sz w:val="20"/>
          <w:szCs w:val="20"/>
        </w:rPr>
        <w:t xml:space="preserve">podstawie art. 11f ust. 3 ustawy z dnia 10 kwietnia 2003 r. o szczególnych zasadach przygotowania i realizacji inwestycji w zakresie dróg publicznych (Dz. U. z 2022 r. poz. 176) zawiadamia się, że w dniu </w:t>
      </w:r>
      <w:r w:rsidR="001877B3" w:rsidRPr="00D733FD">
        <w:rPr>
          <w:rFonts w:ascii="Arial" w:hAnsi="Arial" w:cs="Arial"/>
          <w:sz w:val="20"/>
          <w:szCs w:val="20"/>
        </w:rPr>
        <w:t>22</w:t>
      </w:r>
      <w:r w:rsidR="009A7CC6" w:rsidRPr="00D733FD">
        <w:rPr>
          <w:rFonts w:ascii="Arial" w:hAnsi="Arial" w:cs="Arial"/>
          <w:sz w:val="20"/>
          <w:szCs w:val="20"/>
        </w:rPr>
        <w:t xml:space="preserve"> </w:t>
      </w:r>
      <w:r w:rsidR="001877B3" w:rsidRPr="00D733FD">
        <w:rPr>
          <w:rFonts w:ascii="Arial" w:hAnsi="Arial" w:cs="Arial"/>
          <w:sz w:val="20"/>
          <w:szCs w:val="20"/>
        </w:rPr>
        <w:t>czerwca</w:t>
      </w:r>
      <w:r w:rsidR="009A7CC6" w:rsidRPr="00D733FD">
        <w:rPr>
          <w:rFonts w:ascii="Arial" w:hAnsi="Arial" w:cs="Arial"/>
          <w:sz w:val="20"/>
          <w:szCs w:val="20"/>
        </w:rPr>
        <w:t xml:space="preserve"> 2022 r. Starosta Powiatu Wyszkowskiego wydał decyzję </w:t>
      </w:r>
      <w:r w:rsidR="009A7CC6" w:rsidRPr="00D733FD">
        <w:rPr>
          <w:rFonts w:ascii="Arial" w:hAnsi="Arial" w:cs="Arial"/>
          <w:b/>
          <w:bCs/>
          <w:sz w:val="20"/>
          <w:szCs w:val="20"/>
        </w:rPr>
        <w:t xml:space="preserve">Nr </w:t>
      </w:r>
      <w:r w:rsidR="001877B3" w:rsidRPr="00D733FD">
        <w:rPr>
          <w:rFonts w:ascii="Arial" w:hAnsi="Arial" w:cs="Arial"/>
          <w:b/>
          <w:bCs/>
          <w:sz w:val="20"/>
          <w:szCs w:val="20"/>
        </w:rPr>
        <w:t>5</w:t>
      </w:r>
      <w:r w:rsidR="009A7CC6" w:rsidRPr="00D733FD">
        <w:rPr>
          <w:rFonts w:ascii="Arial" w:hAnsi="Arial" w:cs="Arial"/>
          <w:b/>
          <w:bCs/>
          <w:sz w:val="20"/>
          <w:szCs w:val="20"/>
        </w:rPr>
        <w:t>/2022</w:t>
      </w:r>
      <w:r w:rsidR="009A7CC6" w:rsidRPr="00D733FD">
        <w:rPr>
          <w:rFonts w:ascii="Arial" w:hAnsi="Arial" w:cs="Arial"/>
          <w:sz w:val="20"/>
          <w:szCs w:val="20"/>
        </w:rPr>
        <w:t xml:space="preserve"> opatrzoną rygorem natychmiastowej wykonalności o zezwoleniu na realizację inwestycji drogowej realizowanej </w:t>
      </w:r>
      <w:r w:rsidR="00D733FD">
        <w:rPr>
          <w:rFonts w:ascii="Arial" w:hAnsi="Arial" w:cs="Arial"/>
          <w:sz w:val="20"/>
          <w:szCs w:val="20"/>
        </w:rPr>
        <w:br/>
      </w:r>
      <w:r w:rsidR="009A7CC6" w:rsidRPr="00D733FD">
        <w:rPr>
          <w:rFonts w:ascii="Arial" w:hAnsi="Arial" w:cs="Arial"/>
          <w:sz w:val="20"/>
          <w:szCs w:val="20"/>
        </w:rPr>
        <w:t>pn.</w:t>
      </w:r>
      <w:r w:rsidR="009A7CC6" w:rsidRPr="00D733FD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bookmarkEnd w:id="1"/>
      <w:r w:rsidR="00D733FD" w:rsidRPr="00D733FD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  <w:sz w:val="20"/>
            <w:szCs w:val="20"/>
          </w:rPr>
          <w:alias w:val="nazwa inwestycji"/>
          <w:tag w:val="nazwa inwestycji"/>
          <w:id w:val="-335308036"/>
          <w:placeholder>
            <w:docPart w:val="A9048B79404642F59222D337B9CAAD5D"/>
          </w:placeholder>
        </w:sdtPr>
        <w:sdtContent>
          <w:r w:rsidR="00D733FD" w:rsidRPr="00D733FD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Budowa drogi w miejscowości Młynarze</w:t>
          </w:r>
        </w:sdtContent>
      </w:sdt>
      <w:r w:rsidR="00D733FD" w:rsidRPr="00D733FD">
        <w:rPr>
          <w:rFonts w:ascii="Arial" w:hAnsi="Arial" w:cs="Arial"/>
          <w:b/>
          <w:bCs/>
          <w:sz w:val="20"/>
          <w:szCs w:val="20"/>
        </w:rPr>
        <w:t>”.</w:t>
      </w:r>
    </w:p>
    <w:p w14:paraId="39702CC1" w14:textId="695E687E" w:rsidR="00B52308" w:rsidRDefault="00B52308" w:rsidP="00D733FD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180F34">
        <w:rPr>
          <w:rFonts w:ascii="Arial" w:hAnsi="Arial" w:cs="Arial"/>
        </w:rPr>
        <w:t xml:space="preserve">Inwestorem przedsięwzięcia jest </w:t>
      </w:r>
      <w:r>
        <w:rPr>
          <w:rFonts w:ascii="Arial" w:hAnsi="Arial" w:cs="Arial"/>
        </w:rPr>
        <w:t>Wójt Gminy Zabrodzie</w:t>
      </w:r>
      <w:r>
        <w:rPr>
          <w:rFonts w:ascii="Arial" w:hAnsi="Arial" w:cs="Arial"/>
          <w:b/>
          <w:bCs/>
        </w:rPr>
        <w:t>.</w:t>
      </w:r>
    </w:p>
    <w:p w14:paraId="31E07430" w14:textId="49861F6B" w:rsidR="00D733FD" w:rsidRPr="006035EE" w:rsidRDefault="00D733FD" w:rsidP="00D733FD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6035EE">
        <w:rPr>
          <w:rFonts w:ascii="Arial" w:hAnsi="Arial" w:cs="Arial"/>
          <w:b/>
          <w:bCs/>
        </w:rPr>
        <w:t xml:space="preserve">podlegające podziałowi </w:t>
      </w:r>
      <w:r w:rsidRPr="006035EE">
        <w:rPr>
          <w:rFonts w:ascii="Arial" w:hAnsi="Arial" w:cs="Arial"/>
          <w:b/>
          <w:bCs/>
        </w:rPr>
        <w:br/>
      </w:r>
      <w:r w:rsidRPr="006035EE">
        <w:rPr>
          <w:rFonts w:ascii="Arial" w:hAnsi="Arial" w:cs="Arial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</w:rPr>
        <w:t>tłustym drukiem</w:t>
      </w:r>
      <w:r w:rsidRPr="006035EE">
        <w:rPr>
          <w:rFonts w:ascii="Arial" w:hAnsi="Arial" w:cs="Arial"/>
        </w:rPr>
        <w:t xml:space="preserve"> numery działek przeznaczone </w:t>
      </w:r>
      <w:r w:rsidRPr="006035EE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33FD" w:rsidRPr="006035EE" w14:paraId="785AE6E3" w14:textId="77777777" w:rsidTr="00002395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35F3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56E05CF4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143506_2 Zabrodzie - obszar wiejski</w:t>
            </w:r>
          </w:p>
        </w:tc>
      </w:tr>
      <w:tr w:rsidR="00D733FD" w:rsidRPr="006035EE" w14:paraId="28815894" w14:textId="77777777" w:rsidTr="00002395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8208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Młynarze</w:t>
            </w:r>
          </w:p>
        </w:tc>
      </w:tr>
      <w:tr w:rsidR="00D733FD" w:rsidRPr="006035EE" w14:paraId="1D878DD2" w14:textId="77777777" w:rsidTr="00002395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00048" w14:textId="77777777" w:rsidR="00D733FD" w:rsidRPr="006035EE" w:rsidRDefault="00D733FD" w:rsidP="00002395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532/175 (</w:t>
            </w:r>
            <w:r>
              <w:rPr>
                <w:rFonts w:ascii="Arial" w:hAnsi="Arial" w:cs="Arial"/>
                <w:b/>
                <w:bCs/>
                <w:color w:val="C00000"/>
              </w:rPr>
              <w:t>532/176</w:t>
            </w:r>
            <w:r w:rsidRPr="008C27B5">
              <w:rPr>
                <w:rFonts w:ascii="Arial" w:hAnsi="Arial" w:cs="Arial"/>
                <w:b/>
                <w:bCs/>
                <w:color w:val="C00000"/>
              </w:rPr>
              <w:t>,</w:t>
            </w:r>
            <w:r>
              <w:rPr>
                <w:rFonts w:ascii="Arial" w:hAnsi="Arial" w:cs="Arial"/>
                <w:color w:val="C00000"/>
              </w:rPr>
              <w:t xml:space="preserve"> 532/177), 531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531/1</w:t>
            </w:r>
            <w:r>
              <w:rPr>
                <w:rFonts w:ascii="Arial" w:hAnsi="Arial" w:cs="Arial"/>
                <w:color w:val="C00000"/>
              </w:rPr>
              <w:t>, 531/2), 530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530/1</w:t>
            </w:r>
            <w:r>
              <w:rPr>
                <w:rFonts w:ascii="Arial" w:hAnsi="Arial" w:cs="Arial"/>
                <w:color w:val="C00000"/>
              </w:rPr>
              <w:t>, 530/2), 529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529/1</w:t>
            </w:r>
            <w:r>
              <w:rPr>
                <w:rFonts w:ascii="Arial" w:hAnsi="Arial" w:cs="Arial"/>
                <w:color w:val="C00000"/>
              </w:rPr>
              <w:t>, 529/2), 520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520/1</w:t>
            </w:r>
            <w:r>
              <w:rPr>
                <w:rFonts w:ascii="Arial" w:hAnsi="Arial" w:cs="Arial"/>
                <w:color w:val="C00000"/>
              </w:rPr>
              <w:t xml:space="preserve"> 520/2), 519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519/1</w:t>
            </w:r>
            <w:r>
              <w:rPr>
                <w:rFonts w:ascii="Arial" w:hAnsi="Arial" w:cs="Arial"/>
                <w:color w:val="C00000"/>
              </w:rPr>
              <w:t>, 519/2), 533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533/1</w:t>
            </w:r>
            <w:r>
              <w:rPr>
                <w:rFonts w:ascii="Arial" w:hAnsi="Arial" w:cs="Arial"/>
                <w:color w:val="C00000"/>
              </w:rPr>
              <w:t>, 533/2), 547 (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547/1</w:t>
            </w:r>
            <w:r>
              <w:rPr>
                <w:rFonts w:ascii="Arial" w:hAnsi="Arial" w:cs="Arial"/>
                <w:color w:val="C00000"/>
              </w:rPr>
              <w:t>, 547/2), 102 (102/1,</w:t>
            </w:r>
            <w:r w:rsidRPr="00813A16">
              <w:rPr>
                <w:rFonts w:ascii="Arial" w:hAnsi="Arial" w:cs="Arial"/>
                <w:b/>
                <w:bCs/>
                <w:color w:val="C00000"/>
              </w:rPr>
              <w:t>102/2</w:t>
            </w:r>
            <w:r>
              <w:rPr>
                <w:rFonts w:ascii="Arial" w:hAnsi="Arial" w:cs="Arial"/>
                <w:color w:val="C00000"/>
              </w:rPr>
              <w:t>, 102/3)</w:t>
            </w:r>
          </w:p>
        </w:tc>
      </w:tr>
    </w:tbl>
    <w:p w14:paraId="74586596" w14:textId="77777777" w:rsidR="00D733FD" w:rsidRPr="006035EE" w:rsidRDefault="00D733FD" w:rsidP="00D733FD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6035EE">
        <w:rPr>
          <w:rFonts w:ascii="Arial" w:hAnsi="Arial" w:cs="Arial"/>
          <w:b/>
          <w:bCs/>
        </w:rPr>
        <w:t xml:space="preserve">Działki w granicach projektowanego pasa drogowego drogi </w:t>
      </w:r>
      <w:r w:rsidRPr="00C77B29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C77B29">
        <w:rPr>
          <w:rFonts w:ascii="Arial" w:hAnsi="Arial" w:cs="Arial"/>
          <w:b/>
          <w:bCs/>
        </w:rPr>
        <w:t>przeznaczone w całości</w:t>
      </w:r>
      <w:r w:rsidRPr="00C77B29">
        <w:rPr>
          <w:rFonts w:ascii="Arial" w:hAnsi="Arial" w:cs="Arial"/>
          <w:b/>
          <w:bCs/>
        </w:rPr>
        <w:br/>
        <w:t xml:space="preserve">do przejęcia pod inwestycję </w:t>
      </w:r>
      <w:r w:rsidRPr="006035EE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33FD" w:rsidRPr="006035EE" w14:paraId="0C76A59C" w14:textId="77777777" w:rsidTr="00002395">
        <w:tc>
          <w:tcPr>
            <w:tcW w:w="9062" w:type="dxa"/>
            <w:shd w:val="clear" w:color="auto" w:fill="auto"/>
          </w:tcPr>
          <w:p w14:paraId="7E3E2373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30E2EBA3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</w:t>
            </w:r>
            <w:r>
              <w:rPr>
                <w:rFonts w:ascii="Arial" w:hAnsi="Arial" w:cs="Arial"/>
                <w:color w:val="4F81BD" w:themeColor="accent1"/>
              </w:rPr>
              <w:t>6</w:t>
            </w:r>
            <w:r w:rsidRPr="006035EE">
              <w:rPr>
                <w:rFonts w:ascii="Arial" w:hAnsi="Arial" w:cs="Arial"/>
                <w:color w:val="4F81BD" w:themeColor="accent1"/>
              </w:rPr>
              <w:t>_</w:t>
            </w:r>
            <w:r>
              <w:rPr>
                <w:rFonts w:ascii="Arial" w:hAnsi="Arial" w:cs="Arial"/>
                <w:color w:val="4F81BD" w:themeColor="accent1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Zabrodzie - obszar wiejski</w:t>
            </w:r>
          </w:p>
        </w:tc>
      </w:tr>
      <w:tr w:rsidR="00D733FD" w:rsidRPr="006035EE" w14:paraId="4C60C886" w14:textId="77777777" w:rsidTr="00002395">
        <w:tc>
          <w:tcPr>
            <w:tcW w:w="9062" w:type="dxa"/>
            <w:shd w:val="clear" w:color="auto" w:fill="auto"/>
          </w:tcPr>
          <w:p w14:paraId="3EBBF989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Młynarze</w:t>
            </w:r>
          </w:p>
        </w:tc>
      </w:tr>
      <w:tr w:rsidR="00D733FD" w:rsidRPr="006035EE" w14:paraId="7AFC75E9" w14:textId="77777777" w:rsidTr="00002395">
        <w:tc>
          <w:tcPr>
            <w:tcW w:w="9062" w:type="dxa"/>
            <w:shd w:val="clear" w:color="auto" w:fill="auto"/>
          </w:tcPr>
          <w:p w14:paraId="37F988A8" w14:textId="77777777" w:rsidR="00D733FD" w:rsidRPr="006035EE" w:rsidRDefault="00D733FD" w:rsidP="00002395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175/2, 307</w:t>
            </w:r>
          </w:p>
        </w:tc>
      </w:tr>
    </w:tbl>
    <w:p w14:paraId="42446687" w14:textId="77777777" w:rsidR="00D733FD" w:rsidRDefault="00D733FD" w:rsidP="00D733FD">
      <w:pPr>
        <w:spacing w:before="240" w:line="360" w:lineRule="auto"/>
        <w:jc w:val="both"/>
        <w:rPr>
          <w:rFonts w:ascii="Arial" w:hAnsi="Arial" w:cs="Arial"/>
          <w:b/>
          <w:bCs/>
        </w:rPr>
      </w:pPr>
      <w:r w:rsidRPr="00431E32">
        <w:rPr>
          <w:rFonts w:ascii="Arial" w:eastAsia="ArialMT" w:hAnsi="Arial" w:cs="Arial"/>
          <w:b/>
        </w:rPr>
        <w:t xml:space="preserve">Działki niezbędne do budowy lub przebudowy </w:t>
      </w:r>
      <w:r>
        <w:rPr>
          <w:rFonts w:ascii="Arial" w:eastAsia="ArialMT" w:hAnsi="Arial" w:cs="Arial"/>
          <w:b/>
        </w:rPr>
        <w:t xml:space="preserve">dróg innych kategorii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D733FD" w14:paraId="3B75A071" w14:textId="77777777" w:rsidTr="00002395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E1EAF" w14:textId="77777777" w:rsidR="00D733FD" w:rsidRPr="006035EE" w:rsidRDefault="00D733FD" w:rsidP="000023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gmina Zabrodzie, </w:t>
            </w:r>
          </w:p>
          <w:p w14:paraId="7F8C1103" w14:textId="77777777" w:rsidR="00D733FD" w:rsidRDefault="00D733FD" w:rsidP="000023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</w:rPr>
              <w:t>143506_2 Zabrodzie - obszar wiejski</w:t>
            </w:r>
          </w:p>
        </w:tc>
      </w:tr>
      <w:tr w:rsidR="00D733FD" w14:paraId="480B7A6A" w14:textId="77777777" w:rsidTr="00002395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EEBC" w14:textId="77777777" w:rsidR="00D733FD" w:rsidRDefault="00D733FD" w:rsidP="0000239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35EE">
              <w:rPr>
                <w:rFonts w:ascii="Arial" w:hAnsi="Arial" w:cs="Arial"/>
                <w:color w:val="4F81BD" w:themeColor="accent1"/>
              </w:rPr>
              <w:t>Obręb: 001</w:t>
            </w:r>
            <w:r>
              <w:rPr>
                <w:rFonts w:ascii="Arial" w:hAnsi="Arial" w:cs="Arial"/>
                <w:color w:val="4F81BD" w:themeColor="accent1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</w:rPr>
              <w:t>Młynarze</w:t>
            </w:r>
          </w:p>
        </w:tc>
      </w:tr>
      <w:tr w:rsidR="00D733FD" w:rsidRPr="00F022E1" w14:paraId="605FCBC5" w14:textId="77777777" w:rsidTr="00002395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FF5C" w14:textId="77777777" w:rsidR="00D733FD" w:rsidRPr="006035EE" w:rsidRDefault="00D733FD" w:rsidP="000023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149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57DE" w14:textId="77777777" w:rsidR="00D733FD" w:rsidRDefault="00D733FD" w:rsidP="00002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włączenie w drogę innej kategorii- włączenie w drogę gminną wewnętrzną, ul. Chabrowa</w:t>
            </w:r>
          </w:p>
        </w:tc>
      </w:tr>
      <w:tr w:rsidR="00D733FD" w:rsidRPr="00F022E1" w14:paraId="63B8F484" w14:textId="77777777" w:rsidTr="00002395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287" w14:textId="77777777" w:rsidR="00D733FD" w:rsidRPr="006035EE" w:rsidRDefault="00D733FD" w:rsidP="000023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86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6658" w14:textId="77777777" w:rsidR="00D733FD" w:rsidRDefault="00D733FD" w:rsidP="00002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włączenie w drogę innej kategorii-włączenie w drogę gminną wewnętrzną, ul. Tulipanowa</w:t>
            </w:r>
          </w:p>
        </w:tc>
      </w:tr>
    </w:tbl>
    <w:p w14:paraId="6F8D8D3F" w14:textId="49894EC9" w:rsidR="008A7F59" w:rsidRPr="00180F34" w:rsidRDefault="008A7F59" w:rsidP="00D733FD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D52F03E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2020 r., poz. 256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20487FAF" w14:textId="3EBD945B" w:rsidR="00632686" w:rsidRDefault="00632686" w:rsidP="00632686">
      <w:pPr>
        <w:spacing w:line="276" w:lineRule="auto"/>
        <w:jc w:val="both"/>
        <w:rPr>
          <w:rFonts w:ascii="Arial" w:hAnsi="Arial" w:cs="Arial"/>
        </w:rPr>
      </w:pPr>
    </w:p>
    <w:sectPr w:rsidR="00632686" w:rsidSect="00632686">
      <w:footerReference w:type="default" r:id="rId7"/>
      <w:headerReference w:type="first" r:id="rId8"/>
      <w:pgSz w:w="11906" w:h="16838"/>
      <w:pgMar w:top="1418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13B2" w14:textId="77777777" w:rsidR="004338B9" w:rsidRDefault="004338B9" w:rsidP="00314ECB">
      <w:r>
        <w:separator/>
      </w:r>
    </w:p>
  </w:endnote>
  <w:endnote w:type="continuationSeparator" w:id="0">
    <w:p w14:paraId="10B7FCE1" w14:textId="77777777" w:rsidR="004338B9" w:rsidRDefault="004338B9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4560" w14:textId="77777777" w:rsidR="004338B9" w:rsidRDefault="004338B9" w:rsidP="00314ECB">
      <w:r>
        <w:separator/>
      </w:r>
    </w:p>
  </w:footnote>
  <w:footnote w:type="continuationSeparator" w:id="0">
    <w:p w14:paraId="0D07E438" w14:textId="77777777" w:rsidR="004338B9" w:rsidRDefault="004338B9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5F6E"/>
    <w:rsid w:val="00026E41"/>
    <w:rsid w:val="000356D2"/>
    <w:rsid w:val="000931C4"/>
    <w:rsid w:val="00094E70"/>
    <w:rsid w:val="000C1BFF"/>
    <w:rsid w:val="000C4C39"/>
    <w:rsid w:val="001160D2"/>
    <w:rsid w:val="00134701"/>
    <w:rsid w:val="00180F34"/>
    <w:rsid w:val="001877B3"/>
    <w:rsid w:val="001949E8"/>
    <w:rsid w:val="00232493"/>
    <w:rsid w:val="002501EF"/>
    <w:rsid w:val="002502A7"/>
    <w:rsid w:val="002507B2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4338B9"/>
    <w:rsid w:val="0054540C"/>
    <w:rsid w:val="00566191"/>
    <w:rsid w:val="005B582D"/>
    <w:rsid w:val="005D08E0"/>
    <w:rsid w:val="005D1710"/>
    <w:rsid w:val="00616FC5"/>
    <w:rsid w:val="006315FF"/>
    <w:rsid w:val="00632686"/>
    <w:rsid w:val="006627A9"/>
    <w:rsid w:val="00663C1F"/>
    <w:rsid w:val="006A0FAA"/>
    <w:rsid w:val="006B2942"/>
    <w:rsid w:val="006D375B"/>
    <w:rsid w:val="006F22CC"/>
    <w:rsid w:val="00706564"/>
    <w:rsid w:val="00785386"/>
    <w:rsid w:val="007C45CD"/>
    <w:rsid w:val="00823FA0"/>
    <w:rsid w:val="008A7F59"/>
    <w:rsid w:val="008C21DE"/>
    <w:rsid w:val="008E4612"/>
    <w:rsid w:val="008E695C"/>
    <w:rsid w:val="009A7CC6"/>
    <w:rsid w:val="009D0771"/>
    <w:rsid w:val="009E2068"/>
    <w:rsid w:val="009E74E3"/>
    <w:rsid w:val="00A26015"/>
    <w:rsid w:val="00A437EA"/>
    <w:rsid w:val="00AB4D0A"/>
    <w:rsid w:val="00AF7A5A"/>
    <w:rsid w:val="00B239B6"/>
    <w:rsid w:val="00B52308"/>
    <w:rsid w:val="00B63881"/>
    <w:rsid w:val="00B64E71"/>
    <w:rsid w:val="00B8673A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172F1"/>
    <w:rsid w:val="00D606EB"/>
    <w:rsid w:val="00D733FD"/>
    <w:rsid w:val="00DC0007"/>
    <w:rsid w:val="00E24D7C"/>
    <w:rsid w:val="00E66877"/>
    <w:rsid w:val="00F02AA7"/>
    <w:rsid w:val="00F3588D"/>
    <w:rsid w:val="00F90504"/>
    <w:rsid w:val="00FB0946"/>
    <w:rsid w:val="00FC0B4A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9A7CC6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48B79404642F59222D337B9CAA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AAB7F-7FA5-429C-A855-381669504005}"/>
      </w:docPartPr>
      <w:docPartBody>
        <w:p w:rsidR="00000000" w:rsidRDefault="00436563" w:rsidP="00436563">
          <w:pPr>
            <w:pStyle w:val="A9048B79404642F59222D337B9CAAD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FC"/>
    <w:rsid w:val="002332E0"/>
    <w:rsid w:val="00436563"/>
    <w:rsid w:val="004F75FC"/>
    <w:rsid w:val="006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563"/>
    <w:rPr>
      <w:color w:val="808080"/>
    </w:rPr>
  </w:style>
  <w:style w:type="paragraph" w:customStyle="1" w:styleId="BEE192D7B8ED4E1F96F65A8519DA747B">
    <w:name w:val="BEE192D7B8ED4E1F96F65A8519DA747B"/>
    <w:rsid w:val="004F75FC"/>
  </w:style>
  <w:style w:type="paragraph" w:customStyle="1" w:styleId="A9048B79404642F59222D337B9CAAD5D">
    <w:name w:val="A9048B79404642F59222D337B9CAAD5D"/>
    <w:rsid w:val="00436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2022-06-21T13:23:00Z</cp:lastPrinted>
  <dcterms:created xsi:type="dcterms:W3CDTF">2022-06-21T13:24:00Z</dcterms:created>
  <dcterms:modified xsi:type="dcterms:W3CDTF">2022-06-21T13:24:00Z</dcterms:modified>
</cp:coreProperties>
</file>