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35FB" w14:textId="0044F7EF" w:rsidR="007B36FB" w:rsidRPr="00296E0D" w:rsidRDefault="007B36FB" w:rsidP="007B36FB">
      <w:pPr>
        <w:pStyle w:val="has-text-align-justify"/>
        <w:rPr>
          <w:b/>
          <w:bCs/>
        </w:rPr>
      </w:pPr>
      <w:r w:rsidRPr="00296E0D">
        <w:rPr>
          <w:b/>
          <w:bCs/>
        </w:rPr>
        <w:t xml:space="preserve">Obowiązki sprawującego opiekę nad osobą całkowicie ubezwłasnowolnioną. </w:t>
      </w:r>
    </w:p>
    <w:p w14:paraId="7005EF75" w14:textId="4F7C28B3" w:rsidR="00432267" w:rsidRDefault="007B36FB" w:rsidP="00296E0D">
      <w:pPr>
        <w:pStyle w:val="has-text-align-justify"/>
        <w:spacing w:before="0" w:beforeAutospacing="0" w:after="0" w:afterAutospacing="0"/>
        <w:jc w:val="both"/>
      </w:pPr>
      <w:r w:rsidRPr="00296E0D">
        <w:t xml:space="preserve">Opiekunem prawnym dla dorosłej osoby całkowicie ubezwłasnowolnionej </w:t>
      </w:r>
      <w:r w:rsidR="00432267" w:rsidRPr="00296E0D">
        <w:t xml:space="preserve">nie </w:t>
      </w:r>
      <w:r w:rsidRPr="00296E0D">
        <w:t xml:space="preserve">może </w:t>
      </w:r>
      <w:r w:rsidR="005006FD" w:rsidRPr="00296E0D">
        <w:t xml:space="preserve">być ustanowiony ten, w stosunku do kogo zachodzi prawdopodobieństwo, że nie wywiąże się należycie z obowiązków opiekuna. W szczególności nie może nim </w:t>
      </w:r>
      <w:r w:rsidRPr="00296E0D">
        <w:t xml:space="preserve">zostać osoba, która </w:t>
      </w:r>
      <w:r w:rsidR="00432267" w:rsidRPr="00296E0D">
        <w:t xml:space="preserve">nie ma </w:t>
      </w:r>
      <w:r w:rsidRPr="00296E0D">
        <w:t>pełn</w:t>
      </w:r>
      <w:r w:rsidR="00432267" w:rsidRPr="00296E0D">
        <w:t>ej</w:t>
      </w:r>
      <w:r w:rsidRPr="00296E0D">
        <w:t xml:space="preserve"> zdolnoś</w:t>
      </w:r>
      <w:r w:rsidR="00432267" w:rsidRPr="00296E0D">
        <w:t>ci</w:t>
      </w:r>
      <w:r w:rsidRPr="00296E0D">
        <w:t xml:space="preserve"> do czynności prawnych</w:t>
      </w:r>
      <w:r w:rsidR="00432267" w:rsidRPr="00296E0D">
        <w:t xml:space="preserve">, pozbawiona </w:t>
      </w:r>
      <w:r w:rsidRPr="00296E0D">
        <w:t>praw publicznych,</w:t>
      </w:r>
      <w:r w:rsidR="00432267" w:rsidRPr="00296E0D">
        <w:t xml:space="preserve"> pozbawiona władzy rodzicielskiej, skazana za przestępstwo przeciwko wolności seksualnej lub obyczajowości albo umyślne przestępstwo z użyciem przemocy wobec osoby lub osoba wobec której orzeczono zakaz prowadzenia działalności związanej z wychowywaniem, leczeniem, edukacją małoletnich lub opieką nad nimi, lub obowiązek powstrzymywania się od przebywania w określonych środowiskach lub miejscach, zakaz kontaktowania się określonymi osobami lub zakaz opuszczania określonego miejsca </w:t>
      </w:r>
      <w:r w:rsidR="005006FD" w:rsidRPr="00296E0D">
        <w:t xml:space="preserve">pobytu bez zgody sądu. </w:t>
      </w:r>
    </w:p>
    <w:p w14:paraId="474DECDF" w14:textId="77777777" w:rsidR="00296E0D" w:rsidRPr="00296E0D" w:rsidRDefault="00296E0D" w:rsidP="00296E0D">
      <w:pPr>
        <w:pStyle w:val="has-text-align-justify"/>
        <w:spacing w:before="0" w:beforeAutospacing="0" w:after="0" w:afterAutospacing="0"/>
        <w:jc w:val="both"/>
      </w:pPr>
    </w:p>
    <w:p w14:paraId="2F62ABCB" w14:textId="1D0C4B98" w:rsidR="007B36FB" w:rsidRDefault="007B36FB" w:rsidP="00296E0D">
      <w:pPr>
        <w:pStyle w:val="has-text-align-justify"/>
        <w:spacing w:before="0" w:beforeAutospacing="0" w:after="0" w:afterAutospacing="0"/>
        <w:jc w:val="both"/>
      </w:pPr>
      <w:r w:rsidRPr="00296E0D">
        <w:t>Opiekunem osoby ubezwłasnowolnionej całkowicie powinien być ustanowiony przede wszystkim jego małżonek, a jeśli brak małżonka, może nim zostać bliski krewny bądź inna osoba bliska, nawet jeśli nie jest spokrewniona.</w:t>
      </w:r>
    </w:p>
    <w:p w14:paraId="6F704905" w14:textId="77777777" w:rsidR="00296E0D" w:rsidRPr="00296E0D" w:rsidRDefault="00296E0D" w:rsidP="00296E0D">
      <w:pPr>
        <w:pStyle w:val="has-text-align-justify"/>
        <w:spacing w:before="0" w:beforeAutospacing="0" w:after="0" w:afterAutospacing="0"/>
        <w:jc w:val="both"/>
      </w:pPr>
    </w:p>
    <w:p w14:paraId="574FDD4B" w14:textId="7480C8A4" w:rsidR="007B36FB" w:rsidRPr="00296E0D" w:rsidRDefault="007B36FB" w:rsidP="00296E0D">
      <w:pPr>
        <w:pStyle w:val="has-text-align-justify"/>
        <w:spacing w:before="0" w:beforeAutospacing="0" w:after="0" w:afterAutospacing="0"/>
        <w:jc w:val="both"/>
      </w:pPr>
      <w:r w:rsidRPr="00296E0D">
        <w:t>Osoba  ubezwłasnowolniona całkowicie nie ma zdolności do czynności prawnych dlatego dla osoby pełnoletniej, która zostanie ubezwłasnowolniona całkowicie, sąd ustanawia opiekuna</w:t>
      </w:r>
      <w:r w:rsidR="000F00BD" w:rsidRPr="00296E0D">
        <w:t>.</w:t>
      </w:r>
    </w:p>
    <w:p w14:paraId="1409ADA6" w14:textId="56191CDF" w:rsidR="000F00BD" w:rsidRDefault="007B36FB" w:rsidP="00296E0D">
      <w:pPr>
        <w:pStyle w:val="has-text-align-justify"/>
        <w:spacing w:before="0" w:beforeAutospacing="0" w:after="0" w:afterAutospacing="0"/>
        <w:jc w:val="both"/>
      </w:pPr>
      <w:r w:rsidRPr="00296E0D">
        <w:t xml:space="preserve">Opiekun sprawuje pieczę nad osobą i majątkiem pozostającego pod </w:t>
      </w:r>
      <w:r w:rsidR="000F00BD" w:rsidRPr="00296E0D">
        <w:t xml:space="preserve">jego </w:t>
      </w:r>
      <w:r w:rsidRPr="00296E0D">
        <w:t>opieką i podlega w</w:t>
      </w:r>
      <w:r w:rsidR="00296E0D">
        <w:t> </w:t>
      </w:r>
      <w:r w:rsidRPr="00296E0D">
        <w:t xml:space="preserve">tym zakresie nadzorowi sądu opiekuńczego. </w:t>
      </w:r>
      <w:r w:rsidR="000F00BD" w:rsidRPr="00296E0D">
        <w:t>O</w:t>
      </w:r>
      <w:r w:rsidRPr="00296E0D">
        <w:t xml:space="preserve">piekun powinien uzyskiwać zezwolenie sądu we wszelkich ważniejszych sprawach, które dotyczą osoby lub majątku osoby ubezwłasnowolnionej całkowicie. </w:t>
      </w:r>
    </w:p>
    <w:p w14:paraId="6303AF82" w14:textId="77777777" w:rsidR="00296E0D" w:rsidRPr="00296E0D" w:rsidRDefault="00296E0D" w:rsidP="00296E0D">
      <w:pPr>
        <w:pStyle w:val="has-text-align-justify"/>
        <w:spacing w:before="0" w:beforeAutospacing="0" w:after="0" w:afterAutospacing="0"/>
        <w:jc w:val="both"/>
      </w:pPr>
    </w:p>
    <w:p w14:paraId="2F01DDCF" w14:textId="4B59272A" w:rsidR="006E195D" w:rsidRDefault="000F00BD" w:rsidP="00296E0D">
      <w:pPr>
        <w:pStyle w:val="has-text-align-justify"/>
        <w:spacing w:before="0" w:beforeAutospacing="0" w:after="0" w:afterAutospacing="0"/>
        <w:jc w:val="both"/>
      </w:pPr>
      <w:r w:rsidRPr="00296E0D">
        <w:t>O</w:t>
      </w:r>
      <w:r w:rsidR="007B36FB" w:rsidRPr="00296E0D">
        <w:t>soba całkowicie ubezwłasnowolniona nie może samodzielnie wykonywać czynności prawnych</w:t>
      </w:r>
      <w:r w:rsidR="000B361D" w:rsidRPr="00296E0D">
        <w:t>,</w:t>
      </w:r>
      <w:r w:rsidRPr="00296E0D">
        <w:t xml:space="preserve"> w związku z czym</w:t>
      </w:r>
      <w:r w:rsidR="000B361D" w:rsidRPr="00296E0D">
        <w:t>,</w:t>
      </w:r>
      <w:r w:rsidRPr="00296E0D">
        <w:t xml:space="preserve"> nie może między innymi</w:t>
      </w:r>
      <w:r w:rsidR="007B36FB" w:rsidRPr="00296E0D">
        <w:t xml:space="preserve"> podpisywa</w:t>
      </w:r>
      <w:r w:rsidRPr="00296E0D">
        <w:t>ć</w:t>
      </w:r>
      <w:r w:rsidR="007B36FB" w:rsidRPr="00296E0D">
        <w:t xml:space="preserve"> umów, </w:t>
      </w:r>
      <w:r w:rsidRPr="00296E0D">
        <w:t xml:space="preserve">zaciągać kredytów, zawierać małżeństwa, wyrażać zgody na przeprowadzanie operacji i zabiegów medycznych, </w:t>
      </w:r>
      <w:r w:rsidR="007B36FB" w:rsidRPr="00296E0D">
        <w:t>sporządz</w:t>
      </w:r>
      <w:r w:rsidRPr="00296E0D">
        <w:t>ać</w:t>
      </w:r>
      <w:r w:rsidR="007B36FB" w:rsidRPr="00296E0D">
        <w:t xml:space="preserve"> testament</w:t>
      </w:r>
      <w:r w:rsidRPr="00296E0D">
        <w:t>u,</w:t>
      </w:r>
      <w:r w:rsidR="007B36FB" w:rsidRPr="00296E0D">
        <w:t xml:space="preserve"> bra</w:t>
      </w:r>
      <w:r w:rsidRPr="00296E0D">
        <w:t>ć</w:t>
      </w:r>
      <w:r w:rsidR="007B36FB" w:rsidRPr="00296E0D">
        <w:t xml:space="preserve"> udziału w wyborach</w:t>
      </w:r>
      <w:r w:rsidR="000B361D" w:rsidRPr="00296E0D">
        <w:t>.</w:t>
      </w:r>
      <w:r w:rsidR="007B36FB" w:rsidRPr="00296E0D">
        <w:t xml:space="preserve"> Podjęcie decyzji o wykonaniu wymienionych powyżej czynności wymaga uzyskania zezwolenia sądu na wniosek opiekuna. </w:t>
      </w:r>
    </w:p>
    <w:p w14:paraId="4CFBDDE3" w14:textId="77777777" w:rsidR="00296E0D" w:rsidRPr="00296E0D" w:rsidRDefault="00296E0D" w:rsidP="00296E0D">
      <w:pPr>
        <w:pStyle w:val="has-text-align-justify"/>
        <w:spacing w:before="0" w:beforeAutospacing="0" w:after="0" w:afterAutospacing="0"/>
        <w:jc w:val="both"/>
      </w:pPr>
    </w:p>
    <w:p w14:paraId="0BA72C35" w14:textId="677229B6" w:rsidR="007B36FB" w:rsidRPr="00296E0D" w:rsidRDefault="006E195D" w:rsidP="00296E0D">
      <w:pPr>
        <w:pStyle w:val="has-text-align-justify"/>
        <w:spacing w:before="0" w:beforeAutospacing="0" w:after="0" w:afterAutospacing="0"/>
        <w:jc w:val="both"/>
      </w:pPr>
      <w:r w:rsidRPr="00296E0D">
        <w:t>Podjęcie gotówki z rachunku bankowego osoby będącej pod opieką lub odbieranie jego emerytury, również powinno być poprzedzone odpowiednim wnioskiem złożonym do Sądu.</w:t>
      </w:r>
    </w:p>
    <w:p w14:paraId="2757B1D1" w14:textId="77777777" w:rsidR="007B36FB" w:rsidRDefault="007B36FB" w:rsidP="00296E0D">
      <w:pPr>
        <w:pStyle w:val="has-text-align-justify"/>
        <w:spacing w:before="0" w:beforeAutospacing="0" w:after="0" w:afterAutospacing="0"/>
        <w:jc w:val="both"/>
      </w:pPr>
      <w:r w:rsidRPr="00296E0D">
        <w:t>Niezwłocznie po objęciu opieki opiekun obowiązany jest sporządzić inwentarz majątku osoby pozostającej pod opieką i przedstawić go sądowi opiekuńczemu. Inwentarz powinien obejmować szczegółowy wykaz wszystkich przedmiotów majątkowych, długów i zobowiązań osoby ubezwłasnowolnionej oraz oszacowanie majątku. Przepis ten stosuje się także w razie późniejszego nabycia majątku przez osobę pozostającą pod opieką. Sąd opiekuńczy może zwolnić opiekuna od obowiązku sporządzenia inwentarza, jeżeli majątek jest nieznaczny.</w:t>
      </w:r>
    </w:p>
    <w:p w14:paraId="35CEDA97" w14:textId="77777777" w:rsidR="00296E0D" w:rsidRPr="00296E0D" w:rsidRDefault="00296E0D" w:rsidP="00296E0D">
      <w:pPr>
        <w:pStyle w:val="has-text-align-justify"/>
        <w:spacing w:before="0" w:beforeAutospacing="0" w:after="0" w:afterAutospacing="0"/>
        <w:jc w:val="both"/>
      </w:pPr>
    </w:p>
    <w:p w14:paraId="6A4D5A1E" w14:textId="534EEAB4" w:rsidR="007B36FB" w:rsidRDefault="007B36FB" w:rsidP="00296E0D">
      <w:pPr>
        <w:pStyle w:val="has-text-align-justify"/>
        <w:spacing w:before="0" w:beforeAutospacing="0" w:after="0" w:afterAutospacing="0"/>
        <w:jc w:val="both"/>
      </w:pPr>
      <w:r w:rsidRPr="00296E0D">
        <w:t>Opiekun obowiązany jest, w terminach oznaczonych przez sąd opiekuńczy, nie rzadziej niż co roku, składać sądowi sprawozdania dotyczące osoby pozostającego pod opieką oraz rachunki z</w:t>
      </w:r>
      <w:r w:rsidR="00296E0D">
        <w:t> </w:t>
      </w:r>
      <w:r w:rsidRPr="00296E0D">
        <w:t>zarządu jego majątkiem. Jeżeli dochody z majątku nie przekraczają prawdopodobnych kosztów utrzymania pozostającego pod opieką, sąd opiekuńczy może zwolnić opiekuna od przedstawiania szczegółowych rachunków z zarządu</w:t>
      </w:r>
      <w:r w:rsidR="000F00BD" w:rsidRPr="00296E0D">
        <w:t>,</w:t>
      </w:r>
      <w:r w:rsidRPr="00296E0D">
        <w:t xml:space="preserve"> w </w:t>
      </w:r>
      <w:r w:rsidR="000F00BD" w:rsidRPr="00296E0D">
        <w:t xml:space="preserve">takim </w:t>
      </w:r>
      <w:r w:rsidRPr="00296E0D">
        <w:t>wypadku opiekun składa tylko ogólne sprawozdanie o zarządzie majątkiem.</w:t>
      </w:r>
    </w:p>
    <w:p w14:paraId="24887F3E" w14:textId="77777777" w:rsidR="00296E0D" w:rsidRPr="00296E0D" w:rsidRDefault="00296E0D" w:rsidP="00296E0D">
      <w:pPr>
        <w:pStyle w:val="has-text-align-justify"/>
        <w:spacing w:before="0" w:beforeAutospacing="0" w:after="0" w:afterAutospacing="0"/>
        <w:jc w:val="both"/>
      </w:pPr>
    </w:p>
    <w:p w14:paraId="3E8DE57C" w14:textId="247555D5" w:rsidR="007B36FB" w:rsidRPr="00296E0D" w:rsidRDefault="007B36FB" w:rsidP="00296E0D">
      <w:pPr>
        <w:pStyle w:val="has-text-align-justify"/>
        <w:spacing w:before="0" w:beforeAutospacing="0" w:after="0" w:afterAutospacing="0"/>
        <w:jc w:val="both"/>
      </w:pPr>
      <w:r w:rsidRPr="00296E0D">
        <w:t xml:space="preserve">Sąd przyznaje opiekunowi na jego żądanie za sprawowanie opieki wynagrodzenie okresowe albo wynagrodzenie jednorazowe w dniu ustania opieki lub zwolnienia </w:t>
      </w:r>
      <w:r w:rsidR="00296E0D">
        <w:t>z niej opiekuna</w:t>
      </w:r>
      <w:r w:rsidRPr="00296E0D">
        <w:t xml:space="preserve">. Pokrywane jest ono z dochodów lub majątku osoby, dla której opiekun jest ustanowiony. Jeśli osoba ta nie ma odpowiednich dochodów lub majątku, wynagrodzenie pokrywane jest ze </w:t>
      </w:r>
      <w:r w:rsidRPr="00296E0D">
        <w:lastRenderedPageBreak/>
        <w:t>środków publicznych i wypłacane przez ośrodek pomocy społecznej. Wysokość wynagrodzenia w stosunku miesięcznym, nie może przekroczyć 1/10 przeciętnego miesięcznego wynagrodzenia w sektorze przedsiębiorstw, bez wypłat nagród z zysku, ogłaszanego przez Prezesa Głównego Urzędu Statystycznego za okres poprzedzający dzień przyznania wynagrodzenia. Jest także możliwość żądania przez opiekuna od osoby pozostającej pod opieką zwrotu poczynionych przez opiekuna nakładów i wydatków związanych ze sprawowaniem opieki. Takie roszczenie przedawnia się z upływem 3 lat od ustania opieki lub zwolnienia z niej opiekuna.</w:t>
      </w:r>
    </w:p>
    <w:p w14:paraId="5D1B80D4" w14:textId="77777777" w:rsidR="00B80911" w:rsidRPr="00296E0D" w:rsidRDefault="00B80911" w:rsidP="00296E0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17002F" w14:textId="7DCA8349" w:rsidR="000B361D" w:rsidRPr="00296E0D" w:rsidRDefault="000B361D" w:rsidP="00296E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296E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„</w:t>
      </w:r>
      <w:r w:rsidR="006E195D" w:rsidRPr="00296E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Art. 169. </w:t>
      </w:r>
    </w:p>
    <w:p w14:paraId="53158B95" w14:textId="2305D708" w:rsidR="006E195D" w:rsidRPr="00296E0D" w:rsidRDefault="006E195D" w:rsidP="00296E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296E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§ 1. Z ważnych powodów sąd opiekuńczy może na żądanie opiekuna</w:t>
      </w:r>
      <w:r w:rsidR="000B361D" w:rsidRPr="00296E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296E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zwolnić go z opieki.</w:t>
      </w:r>
      <w:r w:rsidRPr="00296E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br/>
        <w:t>§ 2. Sąd opiekuńczy zwolni opiekuna, jeżeli z powodu przeszkód faktycznych</w:t>
      </w:r>
      <w:r w:rsidR="000B361D" w:rsidRPr="00296E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296E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lub prawnych opiekun jest niezdolny do sprawowania opieki albo dopuszcza się</w:t>
      </w:r>
      <w:r w:rsidR="000B361D" w:rsidRPr="00296E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296E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czynów lub zaniedbań, które naruszają dobro pozostającego pod opieką.</w:t>
      </w:r>
    </w:p>
    <w:p w14:paraId="1B143706" w14:textId="40AE2EBA" w:rsidR="000A2107" w:rsidRPr="00296E0D" w:rsidRDefault="006E195D" w:rsidP="00296E0D">
      <w:pPr>
        <w:spacing w:after="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296E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§ 3. Jeżeli sąd opiekuńczy nie postanowił inaczej, opiekun obowiązany jest</w:t>
      </w:r>
      <w:r w:rsidR="000B361D" w:rsidRPr="00296E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296E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prowadzić nadal pilne sprawy związane z opieką aż do czasu jej objęcia przez nowego</w:t>
      </w:r>
      <w:r w:rsidR="000B361D" w:rsidRPr="00296E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296E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opiekuna.</w:t>
      </w:r>
    </w:p>
    <w:p w14:paraId="33A15E92" w14:textId="77777777" w:rsidR="000B361D" w:rsidRPr="00296E0D" w:rsidRDefault="000B361D" w:rsidP="00296E0D">
      <w:pPr>
        <w:spacing w:after="0"/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29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Art. 172. </w:t>
      </w:r>
    </w:p>
    <w:p w14:paraId="4145B9C0" w14:textId="77777777" w:rsidR="000B361D" w:rsidRPr="00296E0D" w:rsidRDefault="000B361D" w:rsidP="00296E0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§ 1. </w:t>
      </w:r>
      <w:r w:rsidR="006E195D" w:rsidRPr="0029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W razie zwolnienia opiekuna lub ustania opieki opiekun</w:t>
      </w:r>
      <w:r w:rsidRPr="0029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195D" w:rsidRPr="0029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obowiązany jest złożyć w ciągu trzech miesięcy rachunek końcowy z zarządu</w:t>
      </w:r>
      <w:r w:rsidRPr="0029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195D" w:rsidRPr="0029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majątkiem.</w:t>
      </w:r>
      <w:r w:rsidR="006E195D" w:rsidRPr="00296E0D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6E195D" w:rsidRPr="0029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§ 2. Do rachunku końcowego stosuje się odpowiednio przepisy o rachunku</w:t>
      </w:r>
      <w:r w:rsidRPr="00296E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195D" w:rsidRPr="0029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rocznym.</w:t>
      </w:r>
    </w:p>
    <w:p w14:paraId="5C3C4A51" w14:textId="676BD3CF" w:rsidR="006E195D" w:rsidRPr="00296E0D" w:rsidRDefault="006E195D" w:rsidP="00296E0D">
      <w:pPr>
        <w:spacing w:after="0"/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29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Art. 173. Sąd opiekuńczy może zwolnić opiekuna od obowiązku składania</w:t>
      </w:r>
      <w:r w:rsidR="000B361D" w:rsidRPr="00296E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rachunku końcowego.</w:t>
      </w:r>
    </w:p>
    <w:p w14:paraId="418BBC25" w14:textId="08B1427D" w:rsidR="003C1B38" w:rsidRPr="00296E0D" w:rsidRDefault="000B361D" w:rsidP="00296E0D">
      <w:pPr>
        <w:spacing w:after="0"/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29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Art. 174</w:t>
      </w:r>
      <w:r w:rsidR="003C1B38" w:rsidRPr="0029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. Niezwłocznie po swym zwolnieniu lub po ustaniu opieki opiekun</w:t>
      </w:r>
      <w:r w:rsidRPr="00296E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1B38" w:rsidRPr="0029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obowiązany jest oddać osobie, która pozostawała pod opieką, albo jej</w:t>
      </w:r>
      <w:r w:rsidRPr="00296E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1B38" w:rsidRPr="0029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przedstawicielowi ustawowemu lub spadkobiercom zarządzany przez siebie majątek</w:t>
      </w:r>
      <w:r w:rsidRPr="00296E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1B38" w:rsidRPr="0029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tej osoby</w:t>
      </w:r>
      <w:r w:rsidRPr="0029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.</w:t>
      </w:r>
    </w:p>
    <w:p w14:paraId="2D7987E2" w14:textId="500BD675" w:rsidR="003C1B38" w:rsidRPr="00296E0D" w:rsidRDefault="003C1B38" w:rsidP="00296E0D">
      <w:pPr>
        <w:spacing w:after="0"/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29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Art. 177. Opieka nad ubezwłasnowolnionym całkowicie ustaje z mocy prawa</w:t>
      </w:r>
      <w:r w:rsidR="000B361D" w:rsidRPr="00296E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w razie uchylenia ubezwłasnowolnienia lub zmiany ubezwłasnowolnienia</w:t>
      </w:r>
      <w:r w:rsidR="000B361D" w:rsidRPr="00296E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całkowitego na częściowe</w:t>
      </w:r>
      <w:r w:rsidR="000B361D" w:rsidRPr="0029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.”</w:t>
      </w:r>
    </w:p>
    <w:p w14:paraId="55F6FC93" w14:textId="77777777" w:rsidR="00D65E77" w:rsidRPr="00296E0D" w:rsidRDefault="00D65E77" w:rsidP="00296E0D">
      <w:pPr>
        <w:jc w:val="both"/>
        <w:rPr>
          <w:rFonts w:ascii="Times New Roman" w:hAnsi="Times New Roman" w:cs="Times New Roman"/>
        </w:rPr>
      </w:pPr>
    </w:p>
    <w:p w14:paraId="2C20FA42" w14:textId="77777777" w:rsidR="00D65E77" w:rsidRPr="00B80911" w:rsidRDefault="00D65E77" w:rsidP="000B361D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B80911">
        <w:rPr>
          <w:rFonts w:cstheme="minorHAnsi"/>
          <w:sz w:val="24"/>
          <w:szCs w:val="24"/>
          <w:u w:val="single"/>
        </w:rPr>
        <w:t>Podstawa prawna:</w:t>
      </w:r>
    </w:p>
    <w:p w14:paraId="082D76DE" w14:textId="4A837A9B" w:rsidR="00D65E77" w:rsidRPr="00296E0D" w:rsidRDefault="00D65E77" w:rsidP="000B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E0D">
        <w:rPr>
          <w:rFonts w:ascii="Times New Roman" w:hAnsi="Times New Roman" w:cs="Times New Roman"/>
          <w:sz w:val="24"/>
          <w:szCs w:val="24"/>
        </w:rPr>
        <w:t>Ustawa z dnia 23 kwietnia 1964 r. Kodeks cywilny (Dz. U. z 202</w:t>
      </w:r>
      <w:r w:rsidR="000B361D" w:rsidRPr="00296E0D">
        <w:rPr>
          <w:rFonts w:ascii="Times New Roman" w:hAnsi="Times New Roman" w:cs="Times New Roman"/>
          <w:sz w:val="24"/>
          <w:szCs w:val="24"/>
        </w:rPr>
        <w:t>3</w:t>
      </w:r>
      <w:r w:rsidRPr="00296E0D">
        <w:rPr>
          <w:rFonts w:ascii="Times New Roman" w:hAnsi="Times New Roman" w:cs="Times New Roman"/>
          <w:sz w:val="24"/>
          <w:szCs w:val="24"/>
        </w:rPr>
        <w:t xml:space="preserve"> r. poz. </w:t>
      </w:r>
      <w:r w:rsidR="000B361D" w:rsidRPr="00296E0D">
        <w:rPr>
          <w:rFonts w:ascii="Times New Roman" w:hAnsi="Times New Roman" w:cs="Times New Roman"/>
          <w:sz w:val="24"/>
          <w:szCs w:val="24"/>
        </w:rPr>
        <w:t>1610</w:t>
      </w:r>
      <w:r w:rsidRPr="00296E0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9E8F631" w14:textId="47A771EE" w:rsidR="00B80911" w:rsidRPr="00296E0D" w:rsidRDefault="00B80911" w:rsidP="000B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E0D">
        <w:rPr>
          <w:rFonts w:ascii="Times New Roman" w:hAnsi="Times New Roman" w:cs="Times New Roman"/>
          <w:sz w:val="24"/>
          <w:szCs w:val="24"/>
          <w:shd w:val="clear" w:color="auto" w:fill="FFFFFF"/>
        </w:rPr>
        <w:t>Ustawa z dnia 28 lipca 2005 r. o kosztach sądowych w sprawach cywilnych (Dz. U. z 2023 r. poz. 1144 z późn. zm.).</w:t>
      </w:r>
      <w:r w:rsidRPr="00296E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F0761" w14:textId="07CC6B23" w:rsidR="00D65E77" w:rsidRPr="00296E0D" w:rsidRDefault="000B361D" w:rsidP="000B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E0D">
        <w:rPr>
          <w:rFonts w:ascii="Times New Roman" w:hAnsi="Times New Roman" w:cs="Times New Roman"/>
          <w:sz w:val="24"/>
          <w:szCs w:val="24"/>
          <w:shd w:val="clear" w:color="auto" w:fill="FFFFFF"/>
        </w:rPr>
        <w:t>Ustawa z dnia 25 lutego 1964 r. Kodeks rodzinny i opiekuńczy (Dz. U. z 2020 r. poz. 1359 z późn. zm.).</w:t>
      </w:r>
    </w:p>
    <w:p w14:paraId="5CCE1591" w14:textId="77777777" w:rsidR="00D65E77" w:rsidRDefault="00D65E77" w:rsidP="00D65E7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CBA973" w14:textId="3015EEC1" w:rsidR="00D65E77" w:rsidRPr="00085479" w:rsidRDefault="00D65E77" w:rsidP="000B361D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Opracował: Jan Wiszowaty</w:t>
      </w:r>
    </w:p>
    <w:p w14:paraId="09308DA7" w14:textId="77777777" w:rsidR="00D65E77" w:rsidRPr="00085479" w:rsidRDefault="00D65E77" w:rsidP="000B361D">
      <w:pPr>
        <w:pStyle w:val="Nagwek4"/>
        <w:ind w:left="283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5479">
        <w:rPr>
          <w:rFonts w:ascii="Times New Roman" w:hAnsi="Times New Roman" w:cs="Times New Roman"/>
          <w:color w:val="auto"/>
          <w:sz w:val="24"/>
          <w:szCs w:val="24"/>
        </w:rPr>
        <w:t>Dla Stowarzyszenia Rodzin Dzieci z Zaburzeniami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Rozwoju „Bądźmy w Kontakcie” w </w:t>
      </w:r>
      <w:r w:rsidRPr="00085479">
        <w:rPr>
          <w:rFonts w:ascii="Times New Roman" w:hAnsi="Times New Roman" w:cs="Times New Roman"/>
          <w:color w:val="auto"/>
          <w:sz w:val="24"/>
          <w:szCs w:val="24"/>
        </w:rPr>
        <w:t xml:space="preserve">Lucynowie. Na potrzeby edukacji prawnej prowadzonej w ramach Nieodpłatnego Poradnictwa Obywatelskiego w powiecie wyszkowskim </w:t>
      </w:r>
    </w:p>
    <w:p w14:paraId="2297944C" w14:textId="77777777" w:rsidR="00D65E77" w:rsidRDefault="00D65E77" w:rsidP="00D65E77">
      <w:pPr>
        <w:ind w:left="360"/>
      </w:pPr>
    </w:p>
    <w:sectPr w:rsidR="00D6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6D47" w14:textId="77777777" w:rsidR="007C47B0" w:rsidRDefault="007C47B0" w:rsidP="000B361D">
      <w:pPr>
        <w:spacing w:after="0" w:line="240" w:lineRule="auto"/>
      </w:pPr>
      <w:r>
        <w:separator/>
      </w:r>
    </w:p>
  </w:endnote>
  <w:endnote w:type="continuationSeparator" w:id="0">
    <w:p w14:paraId="0B37FFC4" w14:textId="77777777" w:rsidR="007C47B0" w:rsidRDefault="007C47B0" w:rsidP="000B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F96A" w14:textId="77777777" w:rsidR="007C47B0" w:rsidRDefault="007C47B0" w:rsidP="000B361D">
      <w:pPr>
        <w:spacing w:after="0" w:line="240" w:lineRule="auto"/>
      </w:pPr>
      <w:r>
        <w:separator/>
      </w:r>
    </w:p>
  </w:footnote>
  <w:footnote w:type="continuationSeparator" w:id="0">
    <w:p w14:paraId="59BDEC8F" w14:textId="77777777" w:rsidR="007C47B0" w:rsidRDefault="007C47B0" w:rsidP="000B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D7B3B"/>
    <w:multiLevelType w:val="hybridMultilevel"/>
    <w:tmpl w:val="0650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354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FB"/>
    <w:rsid w:val="000A2107"/>
    <w:rsid w:val="000B361D"/>
    <w:rsid w:val="000F00BD"/>
    <w:rsid w:val="00296E0D"/>
    <w:rsid w:val="003C1B38"/>
    <w:rsid w:val="00432267"/>
    <w:rsid w:val="005006FD"/>
    <w:rsid w:val="006E195D"/>
    <w:rsid w:val="007B36FB"/>
    <w:rsid w:val="007C47B0"/>
    <w:rsid w:val="008C5427"/>
    <w:rsid w:val="00B80911"/>
    <w:rsid w:val="00D6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4DA0"/>
  <w15:chartTrackingRefBased/>
  <w15:docId w15:val="{7277D4D9-E444-4853-9122-308722EB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E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justify">
    <w:name w:val="has-text-align-justify"/>
    <w:basedOn w:val="Normalny"/>
    <w:rsid w:val="007B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7B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7B36FB"/>
    <w:rPr>
      <w:i/>
      <w:iCs/>
    </w:rPr>
  </w:style>
  <w:style w:type="character" w:styleId="Pogrubienie">
    <w:name w:val="Strong"/>
    <w:basedOn w:val="Domylnaczcionkaakapitu"/>
    <w:uiPriority w:val="22"/>
    <w:qFormat/>
    <w:rsid w:val="007B36FB"/>
    <w:rPr>
      <w:b/>
      <w:bCs/>
    </w:rPr>
  </w:style>
  <w:style w:type="character" w:customStyle="1" w:styleId="markedcontent">
    <w:name w:val="markedcontent"/>
    <w:basedOn w:val="Domylnaczcionkaakapitu"/>
    <w:rsid w:val="00432267"/>
  </w:style>
  <w:style w:type="paragraph" w:styleId="Akapitzlist">
    <w:name w:val="List Paragraph"/>
    <w:basedOn w:val="Normalny"/>
    <w:uiPriority w:val="34"/>
    <w:qFormat/>
    <w:rsid w:val="003C1B38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E77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6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6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1F530-A2D9-4730-A425-B21D1301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 Wyszków</dc:creator>
  <cp:keywords/>
  <dc:description/>
  <cp:lastModifiedBy>Jan Wiszowaty</cp:lastModifiedBy>
  <cp:revision>3</cp:revision>
  <dcterms:created xsi:type="dcterms:W3CDTF">2023-09-06T06:11:00Z</dcterms:created>
  <dcterms:modified xsi:type="dcterms:W3CDTF">2023-09-06T12:42:00Z</dcterms:modified>
</cp:coreProperties>
</file>