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E3" w:rsidRPr="00803F51" w:rsidRDefault="00803F51" w:rsidP="007E62E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E62E3" w:rsidRPr="00803F5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</w:p>
    <w:p w:rsidR="007E62E3" w:rsidRPr="00803F51" w:rsidRDefault="00EA4ADC" w:rsidP="007E62E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Uchwała Nr 276/915/2023</w:t>
      </w:r>
    </w:p>
    <w:p w:rsidR="007E62E3" w:rsidRPr="00803F51" w:rsidRDefault="007E62E3" w:rsidP="007E62E3">
      <w:pPr>
        <w:jc w:val="center"/>
        <w:rPr>
          <w:rFonts w:asciiTheme="minorHAnsi" w:hAnsiTheme="minorHAnsi" w:cstheme="minorHAnsi"/>
          <w:sz w:val="28"/>
          <w:szCs w:val="28"/>
        </w:rPr>
      </w:pPr>
      <w:r w:rsidRPr="00803F51">
        <w:rPr>
          <w:rFonts w:asciiTheme="minorHAnsi" w:hAnsiTheme="minorHAnsi" w:cstheme="minorHAnsi"/>
          <w:sz w:val="28"/>
          <w:szCs w:val="28"/>
        </w:rPr>
        <w:t>Zarządu Powiatu Wyszkowskiego</w:t>
      </w:r>
    </w:p>
    <w:p w:rsidR="007E62E3" w:rsidRPr="00803F51" w:rsidRDefault="00EA4ADC" w:rsidP="007E62E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dnia 20 lipca 2023 r.</w:t>
      </w:r>
    </w:p>
    <w:p w:rsidR="007E62E3" w:rsidRPr="00803F51" w:rsidRDefault="007E62E3" w:rsidP="007E62E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E62E3" w:rsidRPr="00803F51" w:rsidRDefault="007E62E3" w:rsidP="007E62E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E62E3" w:rsidRPr="00803F51" w:rsidRDefault="007E62E3" w:rsidP="007E62E3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803F51">
        <w:rPr>
          <w:rFonts w:asciiTheme="minorHAnsi" w:hAnsiTheme="minorHAnsi" w:cstheme="minorHAnsi"/>
          <w:i/>
          <w:sz w:val="28"/>
          <w:szCs w:val="28"/>
        </w:rPr>
        <w:t>w sprawie wskazania dwóch członków Zarządu do wykonywania czynności prawnych polegających na zaciąganiu kredytów i pożyczek oraz udzielaniu pożyczek, poręczeń i gwarancji, a także emisji papierów wartościowych.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7E62E3" w:rsidRPr="00803F51" w:rsidRDefault="007E62E3" w:rsidP="007E62E3">
      <w:pPr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 xml:space="preserve">        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 xml:space="preserve">         Na podstawie art. 262 ust. 1  ustawy z dnia 27 sierpnia 2009 r. o finansach publicznych  (Dz. U. z 2023 r. poz. 1270) Zarząd Powiatu Wyszkowskiego uchwala, co następuje:</w:t>
      </w:r>
    </w:p>
    <w:p w:rsidR="007E62E3" w:rsidRPr="00803F51" w:rsidRDefault="007E62E3" w:rsidP="007E62E3">
      <w:pPr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§ 1.</w:t>
      </w: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Do dokonania czynności prawnych polegających na zaciąganiu  kredytów i pożyczek oraz udzielaniu pożyczek,  poręczeń i gwarancji, a także emisji papierów wartościowych wskazuje się dwóch członków Zarządu w osobach: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</w:p>
    <w:p w:rsidR="007E62E3" w:rsidRPr="00803F51" w:rsidRDefault="00803F51" w:rsidP="007E62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 xml:space="preserve">Wojciech </w:t>
      </w:r>
      <w:proofErr w:type="spellStart"/>
      <w:r w:rsidRPr="00803F51">
        <w:rPr>
          <w:rFonts w:asciiTheme="minorHAnsi" w:hAnsiTheme="minorHAnsi" w:cstheme="minorHAnsi"/>
        </w:rPr>
        <w:t>Kozon</w:t>
      </w:r>
      <w:proofErr w:type="spellEnd"/>
      <w:r w:rsidR="007E62E3" w:rsidRPr="00803F51">
        <w:rPr>
          <w:rFonts w:asciiTheme="minorHAnsi" w:hAnsiTheme="minorHAnsi" w:cstheme="minorHAnsi"/>
        </w:rPr>
        <w:t xml:space="preserve"> – Starosta Powiatu</w:t>
      </w:r>
    </w:p>
    <w:p w:rsidR="007E62E3" w:rsidRPr="00803F51" w:rsidRDefault="007E62E3" w:rsidP="007E62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Leszek Marszał – Wicestarosta Powiatu.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§ 2.</w:t>
      </w: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Wykonanie uchwały powierza się Zarządowi Powiatu.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§ 3.</w:t>
      </w: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Traci moc Uchwała Nr 1/4/2</w:t>
      </w:r>
      <w:r w:rsidR="00C945A2">
        <w:rPr>
          <w:rFonts w:asciiTheme="minorHAnsi" w:hAnsiTheme="minorHAnsi" w:cstheme="minorHAnsi"/>
        </w:rPr>
        <w:t>0</w:t>
      </w:r>
      <w:bookmarkStart w:id="0" w:name="_GoBack"/>
      <w:bookmarkEnd w:id="0"/>
      <w:r w:rsidRPr="00803F51">
        <w:rPr>
          <w:rFonts w:asciiTheme="minorHAnsi" w:hAnsiTheme="minorHAnsi" w:cstheme="minorHAnsi"/>
        </w:rPr>
        <w:t xml:space="preserve">18 Zarządu Powiatu Wyszkowskiego z dnia 27 listopada 2018 r. w sprawie wskazania dwóch członków Zarządu do wykonywania czynności  prawnych polegających na zaciąganiu kredytów i pożyczek oraz udzielaniu kredytów, pożyczek, poręczeń i gwarancji, a także emisji papierów wartościowych. 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§ 4.</w:t>
      </w:r>
    </w:p>
    <w:p w:rsidR="007E62E3" w:rsidRPr="00803F51" w:rsidRDefault="007E62E3" w:rsidP="007E62E3">
      <w:pPr>
        <w:jc w:val="center"/>
        <w:rPr>
          <w:rFonts w:asciiTheme="minorHAnsi" w:hAnsiTheme="minorHAnsi" w:cstheme="minorHAnsi"/>
        </w:rPr>
      </w:pPr>
    </w:p>
    <w:p w:rsidR="007E62E3" w:rsidRPr="008E185C" w:rsidRDefault="007E62E3" w:rsidP="008E185C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>Uchwała wchodzi w życie z dniem podjęcia.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 xml:space="preserve">                                                    </w:t>
      </w:r>
    </w:p>
    <w:p w:rsidR="007E62E3" w:rsidRPr="00803F51" w:rsidRDefault="007E62E3" w:rsidP="007E62E3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:rsidR="004C4A8F" w:rsidRPr="00803F51" w:rsidRDefault="004C4A8F">
      <w:pPr>
        <w:rPr>
          <w:rFonts w:asciiTheme="minorHAnsi" w:hAnsiTheme="minorHAnsi" w:cstheme="minorHAnsi"/>
        </w:rPr>
      </w:pPr>
    </w:p>
    <w:p w:rsidR="00803F51" w:rsidRPr="00803F51" w:rsidRDefault="00803F51">
      <w:pPr>
        <w:rPr>
          <w:rFonts w:asciiTheme="minorHAnsi" w:hAnsiTheme="minorHAnsi" w:cstheme="minorHAnsi"/>
        </w:rPr>
      </w:pPr>
    </w:p>
    <w:p w:rsidR="00803F51" w:rsidRDefault="00803F51">
      <w:pPr>
        <w:rPr>
          <w:rFonts w:asciiTheme="minorHAnsi" w:hAnsiTheme="minorHAnsi" w:cstheme="minorHAnsi"/>
        </w:rPr>
      </w:pPr>
    </w:p>
    <w:p w:rsidR="008E185C" w:rsidRPr="00803F51" w:rsidRDefault="008E185C">
      <w:pPr>
        <w:rPr>
          <w:rFonts w:asciiTheme="minorHAnsi" w:hAnsiTheme="minorHAnsi" w:cstheme="minorHAnsi"/>
        </w:rPr>
      </w:pPr>
    </w:p>
    <w:p w:rsidR="00803F51" w:rsidRPr="00803F51" w:rsidRDefault="00803F51">
      <w:pPr>
        <w:rPr>
          <w:rFonts w:asciiTheme="minorHAnsi" w:hAnsiTheme="minorHAnsi" w:cstheme="minorHAnsi"/>
        </w:rPr>
      </w:pPr>
    </w:p>
    <w:p w:rsidR="00803F51" w:rsidRPr="00803F51" w:rsidRDefault="00803F51" w:rsidP="00803F51">
      <w:pPr>
        <w:jc w:val="center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lastRenderedPageBreak/>
        <w:t>Uzasadnienie</w:t>
      </w:r>
    </w:p>
    <w:p w:rsidR="00803F51" w:rsidRPr="00803F51" w:rsidRDefault="00803F51" w:rsidP="00803F51">
      <w:pPr>
        <w:jc w:val="center"/>
        <w:rPr>
          <w:rFonts w:asciiTheme="minorHAnsi" w:hAnsiTheme="minorHAnsi" w:cstheme="minorHAnsi"/>
        </w:rPr>
      </w:pPr>
    </w:p>
    <w:p w:rsidR="00803F51" w:rsidRPr="00803F51" w:rsidRDefault="00803F51" w:rsidP="00803F51">
      <w:pPr>
        <w:jc w:val="both"/>
        <w:rPr>
          <w:rFonts w:asciiTheme="minorHAnsi" w:hAnsiTheme="minorHAnsi" w:cstheme="minorHAnsi"/>
        </w:rPr>
      </w:pPr>
      <w:r w:rsidRPr="00803F51">
        <w:rPr>
          <w:rFonts w:asciiTheme="minorHAnsi" w:hAnsiTheme="minorHAnsi" w:cstheme="minorHAnsi"/>
        </w:rPr>
        <w:t xml:space="preserve">Zgodnie z zapisami art. 262 ust. 1  ustawy z dnia 27 sierpnia 2009 r. o finansach publicznych  (Dz. U. z 2023 r. poz. 1270) czynności prawnych polegających na zaciąganiu kredytów i pożyczek, innych zobowiązań zaliczanych do tytułu dłużnego, o którym mowa w art. 72 ust. 1 pkt 2, oraz udzielaniu pożyczek, poręczeń i gwarancji, a także emisji papierów wartościowych dokonuje dwóch członków zarządu wskazanych w uchwale przez zarząd. </w:t>
      </w:r>
    </w:p>
    <w:sectPr w:rsidR="00803F51" w:rsidRPr="0080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EE2"/>
    <w:multiLevelType w:val="hybridMultilevel"/>
    <w:tmpl w:val="92846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7042F"/>
    <w:multiLevelType w:val="hybridMultilevel"/>
    <w:tmpl w:val="5D9CB0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E3"/>
    <w:rsid w:val="004C4A8F"/>
    <w:rsid w:val="007E62E3"/>
    <w:rsid w:val="00803F51"/>
    <w:rsid w:val="008E185C"/>
    <w:rsid w:val="00C945A2"/>
    <w:rsid w:val="00E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588E-3426-4D02-869D-07B0D7F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5</cp:revision>
  <dcterms:created xsi:type="dcterms:W3CDTF">2023-07-20T10:43:00Z</dcterms:created>
  <dcterms:modified xsi:type="dcterms:W3CDTF">2023-07-24T07:08:00Z</dcterms:modified>
</cp:coreProperties>
</file>