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362" w:rsidRDefault="00583362">
      <w:r>
        <w:t xml:space="preserve">Testament </w:t>
      </w:r>
    </w:p>
    <w:p w:rsidR="00583362" w:rsidRDefault="00583362"/>
    <w:p w:rsidR="00583362" w:rsidRDefault="00583362">
      <w:r>
        <w:t xml:space="preserve">Instytucja testamentu została uregulowana w Kodeksie Cywilnym w art. 941- 967. </w:t>
      </w:r>
    </w:p>
    <w:p w:rsidR="00583362" w:rsidRDefault="00583362"/>
    <w:p w:rsidR="00583362" w:rsidRDefault="00583362">
      <w:r>
        <w:t xml:space="preserve">Testament jest oświadczeniem woli spadkodawcy, w którym rozporządza swoim majątkiem na wypadek śmierci. </w:t>
      </w:r>
    </w:p>
    <w:p w:rsidR="00583362" w:rsidRDefault="00583362"/>
    <w:p w:rsidR="00583362" w:rsidRDefault="00583362">
      <w:r>
        <w:t xml:space="preserve">Aby testament był ważny, konieczne jest by był sporządzony w przepisanej formie (forma pisemna, akt notarialny oraz testament ustny). </w:t>
      </w:r>
    </w:p>
    <w:p w:rsidR="00583362" w:rsidRDefault="00583362"/>
    <w:p w:rsidR="00583362" w:rsidRDefault="00583362">
      <w:r>
        <w:t xml:space="preserve">Jednym z rygorów, mogących mieć wpływ na jego ważność jest zakaz sporządzania testamentów wspólnych. Należy podkreślić, że sporządzony testament można odwołać, lub zmienić poprzez sporządzenie nowego testamentu, którego zapisy stoją w sprzeczności z pierwotnym (jednak kolejność testamentów musi wynikać z ich treści – np. opatrzenie datą). </w:t>
      </w:r>
    </w:p>
    <w:p w:rsidR="00583362" w:rsidRDefault="00583362"/>
    <w:p w:rsidR="00F5038C" w:rsidRDefault="00583362">
      <w:r>
        <w:t>Testament może być uznany za nieważny jeżeli został sporządzony pod wpływem wady oświadczenia woli np. w stanie wyłączającym swobodne albo świadome podjęcie decyzji i wyrażenie woli, pod wpływem błędu</w:t>
      </w:r>
      <w:r w:rsidR="00F5038C">
        <w:t xml:space="preserve">, pod wpływem groźby. </w:t>
      </w:r>
    </w:p>
    <w:p w:rsidR="00583362" w:rsidRDefault="00F5038C">
      <w:r>
        <w:t xml:space="preserve">Jednak na powyższe wady nie można się powoływać po upływie lat 3 od dnia, w którym osoba mająca w tym interes prawny dowiedziała się o przyczynie nieważności a w każdym razie po upływie lat 10 od otwarcia spadku. </w:t>
      </w:r>
    </w:p>
    <w:p w:rsidR="00F5038C" w:rsidRDefault="00F5038C"/>
    <w:p w:rsidR="00F5038C" w:rsidRDefault="00F5038C">
      <w:r>
        <w:t xml:space="preserve">Jeżeli chodzi o wykładnię to należy podkreślić, że testament powinien być tłumaczony, w taki sposób by w możliwie zagwarantować najwierniejsze odzwierciedlenie woli zmarłego. </w:t>
      </w:r>
    </w:p>
    <w:p w:rsidR="00F5038C" w:rsidRDefault="00F5038C"/>
    <w:p w:rsidR="00F5038C" w:rsidRDefault="00F5038C">
      <w:r>
        <w:t xml:space="preserve">Testamenty ustny i pisemny mają określone normy, których brak przestrzegania np. (napisanie testamentu pisemnego na maszynie do pisania albo napisanie go ręcznie przez inną osobę niż testator) powodują jego całkowitą nieważność. </w:t>
      </w:r>
    </w:p>
    <w:p w:rsidR="00F5038C" w:rsidRDefault="00F5038C"/>
    <w:p w:rsidR="00F5038C" w:rsidRDefault="00F5038C" w:rsidP="00F5038C">
      <w:pPr>
        <w:jc w:val="both"/>
      </w:pPr>
      <w:r>
        <w:t xml:space="preserve">Artykuł przygotował Radca Prawny Jacek Sławomir Osuch </w:t>
      </w:r>
      <w:bookmarkStart w:id="0" w:name="_GoBack"/>
      <w:bookmarkEnd w:id="0"/>
    </w:p>
    <w:p w:rsidR="00F5038C" w:rsidRDefault="00F5038C"/>
    <w:p w:rsidR="00F5038C" w:rsidRDefault="00F5038C"/>
    <w:sectPr w:rsidR="00F5038C" w:rsidSect="00E212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62"/>
    <w:rsid w:val="001226D8"/>
    <w:rsid w:val="00583362"/>
    <w:rsid w:val="00E21294"/>
    <w:rsid w:val="00F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7A873"/>
  <w15:chartTrackingRefBased/>
  <w15:docId w15:val="{01D06848-DE46-424A-AF73-96A635FB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2025-06-23T08:44:00Z</dcterms:created>
  <dcterms:modified xsi:type="dcterms:W3CDTF">2025-06-23T09:02:00Z</dcterms:modified>
</cp:coreProperties>
</file>