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6D8" w:rsidRPr="001551C5" w:rsidRDefault="00611332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Zabezpieczenie alimentów </w:t>
      </w:r>
    </w:p>
    <w:p w:rsidR="00611332" w:rsidRPr="001551C5" w:rsidRDefault="00611332">
      <w:pPr>
        <w:rPr>
          <w:rFonts w:ascii="American Typewriter" w:hAnsi="American Typewriter"/>
        </w:rPr>
      </w:pPr>
    </w:p>
    <w:p w:rsidR="00611332" w:rsidRPr="001551C5" w:rsidRDefault="00611332">
      <w:pPr>
        <w:rPr>
          <w:rFonts w:ascii="American Typewriter" w:hAnsi="American Typewriter"/>
        </w:rPr>
      </w:pPr>
      <w:bookmarkStart w:id="0" w:name="_GoBack"/>
      <w:bookmarkEnd w:id="0"/>
    </w:p>
    <w:p w:rsidR="00611332" w:rsidRPr="001551C5" w:rsidRDefault="00611332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W przypadku dochodzenia alimentów przed Sądem, istnieje możliwość złożenia wniosku o zabezpieczenie roszczenia. Instytucja zabezpieczenia roszczenia określona w KPC, pełni funkcję gwarancyjną roszczenia jeżeli co do zasady dochodzenie ich jest słuszne. Dzięki instytucji zabezpieczenia alimentów, beneficjent np. dziecko powinno otrzymać uprawnienie do alimentów już w terminie 7 dni od momentu złożenia wniosku (Sąd rozpoznaje sprawę niezwłocznie) art. 737 </w:t>
      </w:r>
      <w:proofErr w:type="spellStart"/>
      <w:r w:rsidRPr="001551C5">
        <w:rPr>
          <w:rFonts w:ascii="American Typewriter" w:hAnsi="American Typewriter"/>
        </w:rPr>
        <w:t>kpc</w:t>
      </w:r>
      <w:proofErr w:type="spellEnd"/>
      <w:r w:rsidRPr="001551C5">
        <w:rPr>
          <w:rFonts w:ascii="American Typewriter" w:hAnsi="American Typewriter"/>
        </w:rPr>
        <w:t xml:space="preserve">. </w:t>
      </w:r>
    </w:p>
    <w:p w:rsidR="00611332" w:rsidRPr="001551C5" w:rsidRDefault="00611332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Instytucja ta gwarantuje, że świadczenia uprawniony otrzyma w niedługim czasie i nie jest zmuszony oczekiwać na merytoryczne rozstrzygnięcie roszczenia do uprawomocnienia się orzeczenia w sprawie. </w:t>
      </w:r>
    </w:p>
    <w:p w:rsidR="00611332" w:rsidRPr="001551C5" w:rsidRDefault="00611332">
      <w:pPr>
        <w:rPr>
          <w:rFonts w:ascii="American Typewriter" w:hAnsi="American Typewriter"/>
        </w:rPr>
      </w:pPr>
    </w:p>
    <w:p w:rsidR="00611332" w:rsidRPr="001551C5" w:rsidRDefault="00611332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Wniosek ten można złożyć w sentencji pozwu lub oddzielnie. W przypadku oddzielnego złożenia wniosku Sąd pobiera dodatkową opłatę w wysokości 100 zł (art. 68 ustawy o kosztach sądowych w sprawach cywilnych). </w:t>
      </w:r>
    </w:p>
    <w:p w:rsidR="00611332" w:rsidRPr="001551C5" w:rsidRDefault="00611332">
      <w:pPr>
        <w:rPr>
          <w:rFonts w:ascii="American Typewriter" w:hAnsi="American Typewriter"/>
        </w:rPr>
      </w:pPr>
    </w:p>
    <w:p w:rsidR="00611332" w:rsidRPr="001551C5" w:rsidRDefault="00611332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Co do zasady wniosek o zabezpieczenie musi zawierać uprawdopodobnienie roszczenia tj. </w:t>
      </w:r>
      <w:r w:rsidR="001551C5" w:rsidRPr="001551C5">
        <w:rPr>
          <w:rFonts w:ascii="American Typewriter" w:hAnsi="American Typewriter"/>
        </w:rPr>
        <w:t xml:space="preserve">wyjaśnienie jego zasadności oraz wykazanie interesu prawnego, osoby która się ubiega o pomoc w tej formie. </w:t>
      </w:r>
    </w:p>
    <w:p w:rsidR="001551C5" w:rsidRPr="001551C5" w:rsidRDefault="001551C5">
      <w:pPr>
        <w:rPr>
          <w:rFonts w:ascii="American Typewriter" w:hAnsi="American Typewriter"/>
        </w:rPr>
      </w:pPr>
    </w:p>
    <w:p w:rsidR="001551C5" w:rsidRDefault="001551C5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Wniosek musi być precyzyjny i wskazujący roszczenie i w jaki sposób ma być zabezpieczone. </w:t>
      </w:r>
      <w:r>
        <w:rPr>
          <w:rFonts w:ascii="American Typewriter" w:hAnsi="American Typewriter"/>
        </w:rPr>
        <w:t xml:space="preserve">Należy zwrócić ponadto uwagę, że Sąd rozpoznaje wniosek wyłącznie w jego granicach mając na uwadze materiał zgromadzony w sprawie (np. załączniki do pozwu). (art. 738 KPC). </w:t>
      </w:r>
    </w:p>
    <w:p w:rsidR="001551C5" w:rsidRDefault="001551C5">
      <w:pPr>
        <w:rPr>
          <w:rFonts w:ascii="American Typewriter" w:hAnsi="American Typewriter"/>
        </w:rPr>
      </w:pPr>
    </w:p>
    <w:p w:rsidR="001551C5" w:rsidRDefault="001551C5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Postanowienie jest wykonalne bezpośrednio po jego doręczeniu uprawnionemu. </w:t>
      </w:r>
    </w:p>
    <w:p w:rsidR="001551C5" w:rsidRPr="001551C5" w:rsidRDefault="001551C5">
      <w:pPr>
        <w:rPr>
          <w:rFonts w:ascii="American Typewriter" w:hAnsi="American Typewriter"/>
        </w:rPr>
      </w:pPr>
    </w:p>
    <w:p w:rsidR="001551C5" w:rsidRPr="001551C5" w:rsidRDefault="001551C5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Na postanowienie o zabezpieczeniu służy zażalenie do Sądu II instancji. </w:t>
      </w:r>
    </w:p>
    <w:p w:rsidR="00611332" w:rsidRDefault="00611332"/>
    <w:p w:rsidR="00611332" w:rsidRDefault="001551C5">
      <w:pPr>
        <w:rPr>
          <w:rFonts w:ascii="American Typewriter" w:hAnsi="American Typewriter"/>
        </w:rPr>
      </w:pPr>
      <w:r w:rsidRPr="001551C5">
        <w:rPr>
          <w:rFonts w:ascii="American Typewriter" w:hAnsi="American Typewriter"/>
        </w:rPr>
        <w:t xml:space="preserve">Zabezpieczenie upada na skutek zwrotu lub odrzucenia pozwu/ wniosku oddalenie powództwa lub umorzenia postępowania. </w:t>
      </w:r>
      <w:r>
        <w:rPr>
          <w:rFonts w:ascii="American Typewriter" w:hAnsi="American Typewriter"/>
        </w:rPr>
        <w:t xml:space="preserve">(art. 744 </w:t>
      </w:r>
      <w:proofErr w:type="spellStart"/>
      <w:r>
        <w:rPr>
          <w:rFonts w:ascii="American Typewriter" w:hAnsi="American Typewriter"/>
        </w:rPr>
        <w:t>kpc</w:t>
      </w:r>
      <w:proofErr w:type="spellEnd"/>
      <w:r>
        <w:rPr>
          <w:rFonts w:ascii="American Typewriter" w:hAnsi="American Typewriter"/>
        </w:rPr>
        <w:t xml:space="preserve">). </w:t>
      </w:r>
    </w:p>
    <w:p w:rsidR="001551C5" w:rsidRDefault="001551C5">
      <w:pPr>
        <w:rPr>
          <w:rFonts w:ascii="American Typewriter" w:hAnsi="American Typewriter"/>
        </w:rPr>
      </w:pPr>
    </w:p>
    <w:p w:rsidR="001551C5" w:rsidRPr="001551C5" w:rsidRDefault="001551C5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Artykuł przygo</w:t>
      </w:r>
      <w:r w:rsidR="00113B09">
        <w:rPr>
          <w:rFonts w:ascii="American Typewriter" w:hAnsi="American Typewriter"/>
        </w:rPr>
        <w:t xml:space="preserve">tował Radca Prawny Jacek Osuch </w:t>
      </w:r>
    </w:p>
    <w:sectPr w:rsidR="001551C5" w:rsidRPr="001551C5" w:rsidSect="00E212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2"/>
    <w:rsid w:val="00113B09"/>
    <w:rsid w:val="001226D8"/>
    <w:rsid w:val="001551C5"/>
    <w:rsid w:val="001C1F75"/>
    <w:rsid w:val="00611332"/>
    <w:rsid w:val="00E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96F0A"/>
  <w15:chartTrackingRefBased/>
  <w15:docId w15:val="{71B7E0D1-FD97-A64A-BC85-A77C3D6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2025-06-25T11:56:00Z</dcterms:created>
  <dcterms:modified xsi:type="dcterms:W3CDTF">2025-06-25T12:24:00Z</dcterms:modified>
</cp:coreProperties>
</file>