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7C30" w14:textId="77777777" w:rsidR="00866137" w:rsidRPr="00BB64B9" w:rsidRDefault="00866137" w:rsidP="00866137">
      <w:pPr>
        <w:pStyle w:val="Standard"/>
        <w:jc w:val="right"/>
        <w:rPr>
          <w:rFonts w:asciiTheme="minorHAnsi" w:hAnsiTheme="minorHAnsi" w:cstheme="minorHAnsi"/>
          <w:bCs/>
        </w:rPr>
      </w:pPr>
      <w:r w:rsidRPr="00BB64B9">
        <w:rPr>
          <w:rFonts w:asciiTheme="minorHAnsi" w:hAnsiTheme="minorHAnsi" w:cstheme="minorHAnsi"/>
          <w:bCs/>
        </w:rPr>
        <w:t xml:space="preserve">Załącznik </w:t>
      </w:r>
    </w:p>
    <w:p w14:paraId="67FA16FA" w14:textId="77777777" w:rsidR="00866137" w:rsidRPr="00BB64B9" w:rsidRDefault="00866137" w:rsidP="00866137">
      <w:pPr>
        <w:pStyle w:val="Standard"/>
        <w:jc w:val="right"/>
        <w:rPr>
          <w:rFonts w:asciiTheme="minorHAnsi" w:hAnsiTheme="minorHAnsi" w:cstheme="minorHAnsi"/>
          <w:bCs/>
        </w:rPr>
      </w:pPr>
      <w:r w:rsidRPr="00BB64B9">
        <w:rPr>
          <w:rFonts w:asciiTheme="minorHAnsi" w:hAnsiTheme="minorHAnsi" w:cstheme="minorHAnsi"/>
          <w:bCs/>
        </w:rPr>
        <w:t xml:space="preserve">do Uchwały </w:t>
      </w:r>
      <w:r>
        <w:rPr>
          <w:rFonts w:asciiTheme="minorHAnsi" w:hAnsiTheme="minorHAnsi" w:cstheme="minorHAnsi"/>
          <w:bCs/>
        </w:rPr>
        <w:t>XVIII/98/</w:t>
      </w:r>
      <w:r w:rsidRPr="00BB64B9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5</w:t>
      </w:r>
    </w:p>
    <w:p w14:paraId="005050FC" w14:textId="77777777" w:rsidR="00866137" w:rsidRPr="00BB64B9" w:rsidRDefault="00866137" w:rsidP="00866137">
      <w:pPr>
        <w:pStyle w:val="Standard"/>
        <w:jc w:val="right"/>
        <w:rPr>
          <w:rFonts w:asciiTheme="minorHAnsi" w:hAnsiTheme="minorHAnsi" w:cstheme="minorHAnsi"/>
          <w:bCs/>
        </w:rPr>
      </w:pPr>
      <w:r w:rsidRPr="00BB64B9">
        <w:rPr>
          <w:rFonts w:asciiTheme="minorHAnsi" w:hAnsiTheme="minorHAnsi" w:cstheme="minorHAnsi"/>
          <w:bCs/>
        </w:rPr>
        <w:t xml:space="preserve">Rady Powiatu w Wyszkowie </w:t>
      </w:r>
    </w:p>
    <w:p w14:paraId="243F970F" w14:textId="77777777" w:rsidR="00866137" w:rsidRPr="00BB64B9" w:rsidRDefault="00866137" w:rsidP="00866137">
      <w:pPr>
        <w:pStyle w:val="Standard"/>
        <w:jc w:val="right"/>
        <w:rPr>
          <w:rFonts w:asciiTheme="minorHAnsi" w:hAnsiTheme="minorHAnsi" w:cstheme="minorHAnsi"/>
          <w:bCs/>
        </w:rPr>
      </w:pPr>
      <w:r w:rsidRPr="00BB64B9">
        <w:rPr>
          <w:rFonts w:asciiTheme="minorHAnsi" w:hAnsiTheme="minorHAnsi" w:cstheme="minorHAnsi"/>
          <w:bCs/>
        </w:rPr>
        <w:t xml:space="preserve">z dnia </w:t>
      </w:r>
      <w:r>
        <w:rPr>
          <w:rFonts w:asciiTheme="minorHAnsi" w:hAnsiTheme="minorHAnsi" w:cstheme="minorHAnsi"/>
          <w:bCs/>
        </w:rPr>
        <w:t>25 czerwca</w:t>
      </w:r>
      <w:r w:rsidRPr="00BB64B9">
        <w:rPr>
          <w:rFonts w:asciiTheme="minorHAnsi" w:hAnsiTheme="minorHAnsi" w:cstheme="minorHAnsi"/>
          <w:bCs/>
        </w:rPr>
        <w:t xml:space="preserve"> 202</w:t>
      </w:r>
      <w:r>
        <w:rPr>
          <w:rFonts w:asciiTheme="minorHAnsi" w:hAnsiTheme="minorHAnsi" w:cstheme="minorHAnsi"/>
          <w:bCs/>
        </w:rPr>
        <w:t>5</w:t>
      </w:r>
      <w:r w:rsidRPr="00BB64B9">
        <w:rPr>
          <w:rFonts w:asciiTheme="minorHAnsi" w:hAnsiTheme="minorHAnsi" w:cstheme="minorHAnsi"/>
          <w:bCs/>
        </w:rPr>
        <w:t xml:space="preserve"> r.</w:t>
      </w:r>
    </w:p>
    <w:p w14:paraId="4DCE99D4" w14:textId="77777777" w:rsidR="00FC7DF6" w:rsidRPr="00505E1B" w:rsidRDefault="00FC7DF6" w:rsidP="00FC7DF6">
      <w:pPr>
        <w:pStyle w:val="Standard"/>
        <w:jc w:val="center"/>
        <w:rPr>
          <w:b/>
          <w:color w:val="FF0000"/>
          <w:sz w:val="56"/>
          <w:szCs w:val="56"/>
          <w:u w:val="single"/>
        </w:rPr>
      </w:pPr>
    </w:p>
    <w:p w14:paraId="09F04B89" w14:textId="77777777" w:rsidR="00FC7DF6" w:rsidRPr="00505E1B" w:rsidRDefault="00FC7DF6" w:rsidP="00AE7F82">
      <w:pPr>
        <w:pStyle w:val="Standard"/>
        <w:spacing w:line="276" w:lineRule="auto"/>
        <w:jc w:val="center"/>
        <w:rPr>
          <w:color w:val="000000" w:themeColor="text1"/>
        </w:rPr>
      </w:pPr>
      <w:r w:rsidRPr="00505E1B">
        <w:rPr>
          <w:b/>
          <w:color w:val="000000" w:themeColor="text1"/>
          <w:sz w:val="56"/>
          <w:szCs w:val="56"/>
          <w:u w:val="single"/>
        </w:rPr>
        <w:t>RAPORT</w:t>
      </w:r>
    </w:p>
    <w:p w14:paraId="628E815D" w14:textId="77777777" w:rsidR="00FC7DF6" w:rsidRPr="00505E1B" w:rsidRDefault="00FC7DF6" w:rsidP="00FC7DF6">
      <w:pPr>
        <w:pStyle w:val="Standard"/>
        <w:spacing w:after="240" w:line="276" w:lineRule="auto"/>
        <w:jc w:val="center"/>
        <w:rPr>
          <w:color w:val="000000" w:themeColor="text1"/>
        </w:rPr>
      </w:pPr>
      <w:r w:rsidRPr="00505E1B">
        <w:rPr>
          <w:b/>
          <w:color w:val="000000" w:themeColor="text1"/>
          <w:sz w:val="56"/>
          <w:szCs w:val="56"/>
          <w:u w:val="single"/>
        </w:rPr>
        <w:t>o sytuacji ekonomiczno-finansowej</w:t>
      </w:r>
    </w:p>
    <w:p w14:paraId="1005A847" w14:textId="77777777" w:rsidR="00FC7DF6" w:rsidRPr="00505E1B" w:rsidRDefault="00FC7DF6" w:rsidP="0017692A">
      <w:pPr>
        <w:pStyle w:val="Standard"/>
        <w:spacing w:before="240" w:line="276" w:lineRule="auto"/>
        <w:jc w:val="center"/>
        <w:rPr>
          <w:color w:val="000000" w:themeColor="text1"/>
        </w:rPr>
      </w:pPr>
      <w:r w:rsidRPr="00505E1B">
        <w:rPr>
          <w:i/>
          <w:color w:val="000000" w:themeColor="text1"/>
          <w:sz w:val="40"/>
          <w:szCs w:val="40"/>
        </w:rPr>
        <w:t>Samodzielnego Publicznego Zespołu</w:t>
      </w:r>
    </w:p>
    <w:p w14:paraId="441556F4" w14:textId="77777777" w:rsidR="00FC7DF6" w:rsidRPr="00505E1B" w:rsidRDefault="00FC7DF6" w:rsidP="00FC7DF6">
      <w:pPr>
        <w:pStyle w:val="Standard"/>
        <w:spacing w:after="240" w:line="276" w:lineRule="auto"/>
        <w:jc w:val="center"/>
        <w:rPr>
          <w:color w:val="000000" w:themeColor="text1"/>
        </w:rPr>
      </w:pPr>
      <w:r w:rsidRPr="00505E1B">
        <w:rPr>
          <w:i/>
          <w:color w:val="000000" w:themeColor="text1"/>
          <w:sz w:val="40"/>
          <w:szCs w:val="40"/>
        </w:rPr>
        <w:t>Zakładów Opieki Zdrowotnej w Wyszkowie</w:t>
      </w:r>
    </w:p>
    <w:p w14:paraId="01B59A19" w14:textId="77777777" w:rsidR="00FC7DF6" w:rsidRDefault="00FC7DF6" w:rsidP="00FC7DF6">
      <w:pPr>
        <w:pStyle w:val="Standard"/>
        <w:spacing w:after="240" w:line="276" w:lineRule="auto"/>
        <w:jc w:val="center"/>
        <w:rPr>
          <w:color w:val="FF0000"/>
          <w:sz w:val="40"/>
          <w:szCs w:val="40"/>
        </w:rPr>
      </w:pPr>
    </w:p>
    <w:p w14:paraId="2B652E39" w14:textId="77777777" w:rsidR="00AE7F82" w:rsidRPr="00505E1B" w:rsidRDefault="00AE7F82" w:rsidP="00FC7DF6">
      <w:pPr>
        <w:pStyle w:val="Standard"/>
        <w:spacing w:after="240" w:line="276" w:lineRule="auto"/>
        <w:jc w:val="center"/>
        <w:rPr>
          <w:color w:val="FF0000"/>
          <w:sz w:val="40"/>
          <w:szCs w:val="40"/>
        </w:rPr>
      </w:pPr>
    </w:p>
    <w:p w14:paraId="2EE56130" w14:textId="77777777" w:rsidR="00FC7DF6" w:rsidRPr="00505E1B" w:rsidRDefault="00FC7DF6" w:rsidP="00FC7DF6">
      <w:pPr>
        <w:pStyle w:val="Standard"/>
        <w:rPr>
          <w:color w:val="FF0000"/>
        </w:rPr>
      </w:pPr>
      <w:r w:rsidRPr="00505E1B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A837FFA" wp14:editId="71D15CA7">
            <wp:simplePos x="0" y="0"/>
            <wp:positionH relativeFrom="column">
              <wp:posOffset>947418</wp:posOffset>
            </wp:positionH>
            <wp:positionV relativeFrom="paragraph">
              <wp:posOffset>226698</wp:posOffset>
            </wp:positionV>
            <wp:extent cx="3952878" cy="3848096"/>
            <wp:effectExtent l="0" t="0" r="9522" b="4"/>
            <wp:wrapTight wrapText="bothSides">
              <wp:wrapPolygon edited="0">
                <wp:start x="0" y="0"/>
                <wp:lineTo x="0" y="21497"/>
                <wp:lineTo x="21444" y="21497"/>
                <wp:lineTo x="21444" y="0"/>
                <wp:lineTo x="0" y="0"/>
              </wp:wrapPolygon>
            </wp:wrapTight>
            <wp:docPr id="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8" cy="38480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0CE3972" w14:textId="77777777" w:rsidR="00FC7DF6" w:rsidRPr="00505E1B" w:rsidRDefault="00FC7DF6" w:rsidP="00FC7DF6">
      <w:pPr>
        <w:pStyle w:val="Standard"/>
        <w:rPr>
          <w:color w:val="FF0000"/>
        </w:rPr>
      </w:pPr>
    </w:p>
    <w:p w14:paraId="727E8E12" w14:textId="77777777" w:rsidR="00FC7DF6" w:rsidRPr="00505E1B" w:rsidRDefault="00FC7DF6" w:rsidP="00FC7DF6">
      <w:pPr>
        <w:pStyle w:val="Standard"/>
        <w:rPr>
          <w:color w:val="FF0000"/>
        </w:rPr>
      </w:pPr>
    </w:p>
    <w:p w14:paraId="7C1D4990" w14:textId="77777777" w:rsidR="00FC7DF6" w:rsidRPr="00505E1B" w:rsidRDefault="00FC7DF6" w:rsidP="00FC7DF6">
      <w:pPr>
        <w:pStyle w:val="Standard"/>
        <w:rPr>
          <w:color w:val="FF0000"/>
        </w:rPr>
      </w:pPr>
    </w:p>
    <w:p w14:paraId="0A9C116D" w14:textId="77777777" w:rsidR="00FC7DF6" w:rsidRPr="00505E1B" w:rsidRDefault="00FC7DF6" w:rsidP="00FC7DF6">
      <w:pPr>
        <w:pStyle w:val="Standard"/>
        <w:rPr>
          <w:color w:val="FF0000"/>
        </w:rPr>
      </w:pPr>
    </w:p>
    <w:p w14:paraId="20553CAB" w14:textId="77777777" w:rsidR="00FC7DF6" w:rsidRPr="00505E1B" w:rsidRDefault="00FC7DF6" w:rsidP="00FC7DF6">
      <w:pPr>
        <w:pStyle w:val="Standard"/>
        <w:rPr>
          <w:color w:val="FF0000"/>
        </w:rPr>
      </w:pPr>
    </w:p>
    <w:p w14:paraId="01053D33" w14:textId="77777777" w:rsidR="00FC7DF6" w:rsidRPr="00505E1B" w:rsidRDefault="00FC7DF6" w:rsidP="00FC7DF6">
      <w:pPr>
        <w:pStyle w:val="Standard"/>
        <w:rPr>
          <w:color w:val="FF0000"/>
        </w:rPr>
      </w:pPr>
    </w:p>
    <w:p w14:paraId="41096F2C" w14:textId="77777777" w:rsidR="00FC7DF6" w:rsidRPr="00505E1B" w:rsidRDefault="00FC7DF6" w:rsidP="00FC7DF6">
      <w:pPr>
        <w:pStyle w:val="Standard"/>
        <w:jc w:val="center"/>
        <w:rPr>
          <w:color w:val="FF0000"/>
        </w:rPr>
      </w:pPr>
    </w:p>
    <w:p w14:paraId="21FAB3D1" w14:textId="77777777" w:rsidR="00FC7DF6" w:rsidRPr="00505E1B" w:rsidRDefault="00FC7DF6" w:rsidP="00FC7DF6">
      <w:pPr>
        <w:pStyle w:val="Standard"/>
        <w:jc w:val="center"/>
        <w:rPr>
          <w:color w:val="FF0000"/>
        </w:rPr>
      </w:pPr>
    </w:p>
    <w:p w14:paraId="29D12D26" w14:textId="77777777" w:rsidR="00FC7DF6" w:rsidRPr="00505E1B" w:rsidRDefault="00FC7DF6" w:rsidP="00FC7DF6">
      <w:pPr>
        <w:pStyle w:val="Standard"/>
        <w:jc w:val="center"/>
        <w:rPr>
          <w:color w:val="FF0000"/>
        </w:rPr>
      </w:pPr>
    </w:p>
    <w:p w14:paraId="58BDC493" w14:textId="77777777" w:rsidR="00FC7DF6" w:rsidRPr="00505E1B" w:rsidRDefault="00FC7DF6" w:rsidP="00FC7DF6">
      <w:pPr>
        <w:pStyle w:val="Standard"/>
        <w:jc w:val="center"/>
        <w:rPr>
          <w:b/>
          <w:color w:val="FF0000"/>
          <w:sz w:val="40"/>
          <w:szCs w:val="40"/>
        </w:rPr>
      </w:pPr>
    </w:p>
    <w:p w14:paraId="032B16F8" w14:textId="77777777" w:rsidR="00FC7DF6" w:rsidRPr="00505E1B" w:rsidRDefault="00FC7DF6" w:rsidP="00FC7DF6">
      <w:pPr>
        <w:pStyle w:val="Standard"/>
        <w:jc w:val="center"/>
        <w:rPr>
          <w:b/>
          <w:color w:val="FF0000"/>
          <w:sz w:val="40"/>
          <w:szCs w:val="40"/>
        </w:rPr>
      </w:pPr>
    </w:p>
    <w:p w14:paraId="271CDA39" w14:textId="77777777" w:rsidR="00FC7DF6" w:rsidRPr="00505E1B" w:rsidRDefault="00FC7DF6" w:rsidP="00FC7DF6">
      <w:pPr>
        <w:pStyle w:val="Standard"/>
        <w:jc w:val="center"/>
        <w:rPr>
          <w:b/>
          <w:color w:val="FF0000"/>
          <w:sz w:val="40"/>
          <w:szCs w:val="40"/>
        </w:rPr>
      </w:pPr>
    </w:p>
    <w:p w14:paraId="18EC840B" w14:textId="77777777" w:rsidR="00FC7DF6" w:rsidRPr="00505E1B" w:rsidRDefault="00FC7DF6" w:rsidP="00FC7DF6">
      <w:pPr>
        <w:pStyle w:val="Standard"/>
        <w:jc w:val="center"/>
        <w:rPr>
          <w:b/>
          <w:color w:val="FF0000"/>
          <w:sz w:val="40"/>
          <w:szCs w:val="40"/>
        </w:rPr>
      </w:pPr>
    </w:p>
    <w:p w14:paraId="4492617A" w14:textId="77777777" w:rsidR="00FC7DF6" w:rsidRPr="00505E1B" w:rsidRDefault="00FC7DF6" w:rsidP="00FC7DF6">
      <w:pPr>
        <w:pStyle w:val="Standard"/>
        <w:jc w:val="center"/>
        <w:rPr>
          <w:color w:val="FF0000"/>
        </w:rPr>
      </w:pPr>
    </w:p>
    <w:p w14:paraId="17F643FF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27013403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35782518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291588FD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2080E89A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12FB87AE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0E390E0F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02087F29" w14:textId="77777777" w:rsidR="00FC7DF6" w:rsidRPr="00505E1B" w:rsidRDefault="00FC7DF6" w:rsidP="00FC7DF6">
      <w:pPr>
        <w:pStyle w:val="Standard"/>
        <w:jc w:val="center"/>
        <w:rPr>
          <w:i/>
          <w:color w:val="FF0000"/>
        </w:rPr>
      </w:pPr>
    </w:p>
    <w:p w14:paraId="3EB26A19" w14:textId="3A38F430" w:rsidR="00FC7DF6" w:rsidRPr="00505E1B" w:rsidRDefault="00FC7DF6" w:rsidP="00FC7DF6">
      <w:pPr>
        <w:pStyle w:val="Standard"/>
        <w:jc w:val="center"/>
        <w:rPr>
          <w:color w:val="000000" w:themeColor="text1"/>
        </w:rPr>
      </w:pPr>
      <w:r w:rsidRPr="00505E1B">
        <w:rPr>
          <w:i/>
          <w:color w:val="000000" w:themeColor="text1"/>
        </w:rPr>
        <w:t>Wyszków, maj 202</w:t>
      </w:r>
      <w:r w:rsidR="001E312A">
        <w:rPr>
          <w:i/>
          <w:color w:val="000000" w:themeColor="text1"/>
        </w:rPr>
        <w:t>5</w:t>
      </w:r>
      <w:r w:rsidRPr="00505E1B">
        <w:rPr>
          <w:i/>
          <w:color w:val="000000" w:themeColor="text1"/>
        </w:rPr>
        <w:t xml:space="preserve"> rok</w:t>
      </w:r>
    </w:p>
    <w:p w14:paraId="5D9D26AF" w14:textId="7CF1F960" w:rsidR="00FC7DF6" w:rsidRPr="001E312A" w:rsidRDefault="00FC7DF6" w:rsidP="00FC7DF6">
      <w:pPr>
        <w:pStyle w:val="Standard"/>
        <w:spacing w:line="360" w:lineRule="auto"/>
        <w:jc w:val="center"/>
        <w:rPr>
          <w:color w:val="000000" w:themeColor="text1"/>
        </w:rPr>
      </w:pPr>
      <w:r w:rsidRPr="001E312A">
        <w:rPr>
          <w:b/>
          <w:color w:val="000000" w:themeColor="text1"/>
          <w:sz w:val="48"/>
          <w:szCs w:val="48"/>
        </w:rPr>
        <w:lastRenderedPageBreak/>
        <w:t>Spis treści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7"/>
        <w:gridCol w:w="108"/>
        <w:gridCol w:w="1847"/>
      </w:tblGrid>
      <w:tr w:rsidR="001E312A" w:rsidRPr="001E312A" w14:paraId="2D985232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ED19" w14:textId="77777777" w:rsidR="00FC7DF6" w:rsidRPr="001E312A" w:rsidRDefault="00FC7DF6" w:rsidP="00D821A3">
            <w:pPr>
              <w:pStyle w:val="Akapitzlist"/>
              <w:suppressLineNumbers/>
              <w:tabs>
                <w:tab w:val="center" w:pos="4536"/>
                <w:tab w:val="right" w:pos="9072"/>
              </w:tabs>
              <w:spacing w:line="360" w:lineRule="auto"/>
              <w:ind w:left="0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Wprowadzenie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D02" w14:textId="1DAEA8BF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3</w:t>
            </w:r>
          </w:p>
        </w:tc>
      </w:tr>
      <w:tr w:rsidR="001E312A" w:rsidRPr="001E312A" w14:paraId="04F8E1F4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120B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0D94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1E312A" w:rsidRPr="001E312A" w14:paraId="335E4972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F26E" w14:textId="394D4EEF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I. Analiza sytuacji ekonomiczno-finansowej w 202</w:t>
            </w:r>
            <w:r w:rsidR="001E312A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4</w:t>
            </w: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roku oraz </w:t>
            </w:r>
          </w:p>
          <w:p w14:paraId="4E6146EB" w14:textId="6E4B4C7C" w:rsidR="00FC7DF6" w:rsidRPr="001E312A" w:rsidRDefault="009D1EC0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 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prognoza na lata 202</w:t>
            </w:r>
            <w:r w:rsidR="001E312A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5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– 202</w:t>
            </w:r>
            <w:r w:rsidR="001E312A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7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80DD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4</w:t>
            </w:r>
          </w:p>
        </w:tc>
      </w:tr>
      <w:tr w:rsidR="001E312A" w:rsidRPr="001E312A" w14:paraId="3C9C14F0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65DE" w14:textId="77777777" w:rsidR="00FC7DF6" w:rsidRPr="001E312A" w:rsidRDefault="00FC7DF6" w:rsidP="009D1EC0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I.1. Rachunek zysków i strat</w:t>
            </w:r>
          </w:p>
          <w:p w14:paraId="4C34CC1E" w14:textId="77777777" w:rsidR="00FC7DF6" w:rsidRPr="001E312A" w:rsidRDefault="00FC7DF6" w:rsidP="009C3519">
            <w:pPr>
              <w:widowControl/>
              <w:tabs>
                <w:tab w:val="left" w:pos="352"/>
              </w:tabs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I.2. Bilans</w:t>
            </w:r>
          </w:p>
          <w:p w14:paraId="208765E7" w14:textId="77777777" w:rsidR="00FC7DF6" w:rsidRPr="001E312A" w:rsidRDefault="00FC7DF6" w:rsidP="009C3519">
            <w:pPr>
              <w:widowControl/>
              <w:tabs>
                <w:tab w:val="left" w:pos="352"/>
              </w:tabs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I.3. Wskaźniki ekonomiczno-finansowe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21F1" w14:textId="142DEC17" w:rsidR="00FC7DF6" w:rsidRPr="001E312A" w:rsidRDefault="009D1EC0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4</w:t>
            </w:r>
          </w:p>
          <w:p w14:paraId="60EBD7EA" w14:textId="40C6EE1F" w:rsidR="00FC7DF6" w:rsidRPr="001E312A" w:rsidRDefault="009D1EC0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5</w:t>
            </w:r>
          </w:p>
          <w:p w14:paraId="52C72325" w14:textId="2AA9E4D8" w:rsidR="00FC7DF6" w:rsidRPr="001E312A" w:rsidRDefault="009D1EC0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:rsidR="001E312A" w:rsidRPr="001E312A" w14:paraId="67735522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1480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601E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1E312A" w:rsidRPr="001E312A" w14:paraId="3E0F8FEC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C0B" w14:textId="77777777" w:rsidR="009D1EC0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II. Najważniejsze aspekty sytuacji ekonomiczno-finansowej </w:t>
            </w:r>
            <w:r w:rsidR="009D1EC0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4E95EB77" w14:textId="1DBA3AD0" w:rsidR="00FC7DF6" w:rsidRPr="001E312A" w:rsidRDefault="009D1EC0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  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SPZZOZ w Wyszkowie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2692" w14:textId="52BCF42E" w:rsidR="00FC7DF6" w:rsidRPr="001E312A" w:rsidRDefault="009D1EC0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9</w:t>
            </w:r>
          </w:p>
        </w:tc>
      </w:tr>
      <w:tr w:rsidR="001E312A" w:rsidRPr="001E312A" w14:paraId="7E317740" w14:textId="77777777" w:rsidTr="00AA1409">
        <w:tc>
          <w:tcPr>
            <w:tcW w:w="7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2540" w14:textId="658D0EDB" w:rsidR="00FC7DF6" w:rsidRPr="001E312A" w:rsidRDefault="00FC7DF6" w:rsidP="009D1EC0">
            <w:pPr>
              <w:widowControl/>
              <w:tabs>
                <w:tab w:val="left" w:pos="1221"/>
              </w:tabs>
              <w:spacing w:line="360" w:lineRule="auto"/>
              <w:ind w:left="284" w:hanging="142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9D1EC0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II.1. Struktura przychodów </w:t>
            </w:r>
          </w:p>
          <w:p w14:paraId="0ACF0443" w14:textId="77777777" w:rsidR="00FC7DF6" w:rsidRPr="001E312A" w:rsidRDefault="00FC7DF6" w:rsidP="009D1EC0">
            <w:pPr>
              <w:widowControl/>
              <w:spacing w:line="360" w:lineRule="auto"/>
              <w:ind w:left="284" w:hanging="142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II.2. Struktura kosztów </w:t>
            </w:r>
          </w:p>
          <w:p w14:paraId="42E32321" w14:textId="77777777" w:rsidR="00FC7DF6" w:rsidRPr="001E312A" w:rsidRDefault="00FC7DF6" w:rsidP="009D1EC0">
            <w:pPr>
              <w:widowControl/>
              <w:spacing w:line="360" w:lineRule="auto"/>
              <w:ind w:left="284" w:hanging="142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II.3. Struktura zobowiązań</w:t>
            </w:r>
          </w:p>
          <w:p w14:paraId="1EC789F3" w14:textId="77777777" w:rsidR="00FC7DF6" w:rsidRPr="001E312A" w:rsidRDefault="00FC7DF6" w:rsidP="009D1EC0">
            <w:pPr>
              <w:widowControl/>
              <w:spacing w:line="360" w:lineRule="auto"/>
              <w:ind w:left="284" w:hanging="142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II.4. Struktura majątku</w:t>
            </w:r>
          </w:p>
        </w:tc>
        <w:tc>
          <w:tcPr>
            <w:tcW w:w="19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E466" w14:textId="5F1EA1A6" w:rsidR="00FC7DF6" w:rsidRPr="001E312A" w:rsidRDefault="009D1EC0" w:rsidP="00AA1409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           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9</w:t>
            </w:r>
          </w:p>
          <w:p w14:paraId="785E14F0" w14:textId="308AED00" w:rsidR="00FC7DF6" w:rsidRPr="001E312A" w:rsidRDefault="009D1EC0" w:rsidP="00AA1409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</w:t>
            </w:r>
            <w:r w:rsidR="001038B1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AE7F82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</w:p>
          <w:p w14:paraId="4C562D01" w14:textId="11C10646" w:rsidR="00FC7DF6" w:rsidRPr="001E312A" w:rsidRDefault="00FC7DF6" w:rsidP="00AA1409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F876C4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2</w:t>
            </w:r>
          </w:p>
          <w:p w14:paraId="210955E8" w14:textId="0FD07B4C" w:rsidR="00FC7DF6" w:rsidRPr="001E312A" w:rsidRDefault="009D1EC0" w:rsidP="00AA1409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FC7DF6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AA1409"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4</w:t>
            </w:r>
          </w:p>
        </w:tc>
      </w:tr>
      <w:tr w:rsidR="001E312A" w:rsidRPr="001E312A" w14:paraId="58B7E9C9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C783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D0C5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1E312A" w:rsidRPr="001E312A" w14:paraId="4ADE3957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2F2D" w14:textId="77777777" w:rsidR="009D1EC0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III. Założenia prognozy sytuacji ekonomiczno-finansowej SPZZOZ </w:t>
            </w:r>
            <w:r w:rsidR="009C3519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2290A428" w14:textId="6491F9F1" w:rsidR="00FC7DF6" w:rsidRPr="001E312A" w:rsidRDefault="009D1EC0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    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w Wyszkowie na lata 202</w:t>
            </w:r>
            <w:r w:rsidR="001E312A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5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– 202</w:t>
            </w:r>
            <w:r w:rsidR="001E312A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7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21F647BC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color w:val="000000" w:themeColor="text1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</w:t>
            </w: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III.1. Założenia prognozy – przychody i koszty                                                                                          </w:t>
            </w:r>
          </w:p>
          <w:p w14:paraId="002AA96E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III.2. Założenia prognozy – inwestycje i dotacje</w:t>
            </w:r>
          </w:p>
          <w:p w14:paraId="7FB281ED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III.3. Założenia prognozy – pozostałe pozycje sprawozdawcze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5E4D" w14:textId="51360AC1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F876C4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6</w:t>
            </w:r>
          </w:p>
          <w:p w14:paraId="7A41AC47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  <w:p w14:paraId="447B06D2" w14:textId="49B40119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F876C4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6</w:t>
            </w:r>
          </w:p>
          <w:p w14:paraId="3EC176D6" w14:textId="6B48F457" w:rsidR="00FC7DF6" w:rsidRPr="001E312A" w:rsidRDefault="009C3519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F876C4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7</w:t>
            </w:r>
          </w:p>
          <w:p w14:paraId="1EF8D3B3" w14:textId="7388655B" w:rsidR="00FC7DF6" w:rsidRPr="001E312A" w:rsidRDefault="000D0542" w:rsidP="00D821A3">
            <w:pPr>
              <w:widowControl/>
              <w:spacing w:line="360" w:lineRule="auto"/>
              <w:jc w:val="right"/>
              <w:textAlignment w:val="auto"/>
              <w:rPr>
                <w:color w:val="000000" w:themeColor="text1"/>
              </w:rPr>
            </w:pPr>
            <w:r w:rsidRPr="001E312A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1</w:t>
            </w:r>
            <w:r w:rsidR="00F876C4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:rsidR="001E312A" w:rsidRPr="001E312A" w14:paraId="767D6727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B1A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DEE3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1E312A" w:rsidRPr="001E312A" w14:paraId="6754C21E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4851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IV. Podsumowanie analizy i prognozy – ocena wskaźników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CB9" w14:textId="42960DF5" w:rsidR="00FC7DF6" w:rsidRPr="001E312A" w:rsidRDefault="00F876C4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19</w:t>
            </w:r>
          </w:p>
        </w:tc>
      </w:tr>
      <w:tr w:rsidR="001E312A" w:rsidRPr="001E312A" w14:paraId="1E332F26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DBBB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5ECF" w14:textId="77777777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AA1409" w:rsidRPr="001E312A" w14:paraId="75A78F70" w14:textId="77777777" w:rsidTr="00AA1409">
        <w:tc>
          <w:tcPr>
            <w:tcW w:w="72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99B3" w14:textId="77777777" w:rsidR="00FC7DF6" w:rsidRPr="001E312A" w:rsidRDefault="00FC7DF6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V. Istotne zdarzenia mające wpływ na sytuację ekonomiczno-</w:t>
            </w:r>
          </w:p>
          <w:p w14:paraId="41A93A26" w14:textId="353F1E83" w:rsidR="00FC7DF6" w:rsidRPr="001E312A" w:rsidRDefault="00304BF2" w:rsidP="00D821A3">
            <w:pPr>
              <w:widowControl/>
              <w:spacing w:line="360" w:lineRule="auto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    </w:t>
            </w:r>
            <w:r w:rsidR="00FC7DF6"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finansową SPZZOZ w Wyszkowie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A0A5" w14:textId="192E7E32" w:rsidR="00FC7DF6" w:rsidRPr="001E312A" w:rsidRDefault="00FC7DF6" w:rsidP="00D821A3">
            <w:pPr>
              <w:widowControl/>
              <w:spacing w:line="360" w:lineRule="auto"/>
              <w:jc w:val="right"/>
              <w:textAlignment w:val="auto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E312A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2</w:t>
            </w:r>
            <w:r w:rsidR="00F876C4"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3</w:t>
            </w:r>
          </w:p>
        </w:tc>
      </w:tr>
    </w:tbl>
    <w:p w14:paraId="3836B00D" w14:textId="77777777" w:rsidR="00FC7DF6" w:rsidRPr="001E312A" w:rsidRDefault="00FC7DF6" w:rsidP="00FC7DF6">
      <w:pPr>
        <w:pStyle w:val="Standard"/>
        <w:spacing w:line="360" w:lineRule="auto"/>
        <w:rPr>
          <w:color w:val="000000" w:themeColor="text1"/>
        </w:rPr>
      </w:pPr>
    </w:p>
    <w:p w14:paraId="250CC003" w14:textId="77777777" w:rsidR="00FC7DF6" w:rsidRPr="000859B8" w:rsidRDefault="00FC7DF6" w:rsidP="000311D8">
      <w:pPr>
        <w:pStyle w:val="Standard"/>
        <w:pageBreakBefore/>
        <w:spacing w:after="240"/>
      </w:pPr>
      <w:r w:rsidRPr="000859B8">
        <w:rPr>
          <w:b/>
          <w:i/>
          <w:sz w:val="28"/>
          <w:szCs w:val="28"/>
        </w:rPr>
        <w:lastRenderedPageBreak/>
        <w:t>Wprowadzenie</w:t>
      </w:r>
    </w:p>
    <w:p w14:paraId="2AB34023" w14:textId="44F1C708" w:rsidR="000311D8" w:rsidRPr="004C524F" w:rsidRDefault="00FC7DF6" w:rsidP="000311D8">
      <w:pPr>
        <w:pStyle w:val="Standard"/>
        <w:spacing w:line="360" w:lineRule="auto"/>
        <w:jc w:val="both"/>
      </w:pPr>
      <w:r w:rsidRPr="004C524F">
        <w:t xml:space="preserve">Raport o sytuacji ekonomiczno-finansowej sporządzony zgodnie z art. 53a ustawy z dnia </w:t>
      </w:r>
      <w:r w:rsidRPr="004C524F">
        <w:br/>
        <w:t xml:space="preserve">15 kwietnia 2011 roku </w:t>
      </w:r>
      <w:r w:rsidRPr="004C524F">
        <w:rPr>
          <w:i/>
          <w:iCs/>
        </w:rPr>
        <w:t>o działalności leczniczej</w:t>
      </w:r>
      <w:r w:rsidRPr="004C524F">
        <w:t xml:space="preserve"> (t.j. Dz.U. z 202</w:t>
      </w:r>
      <w:r w:rsidR="00033191" w:rsidRPr="004C524F">
        <w:t>5</w:t>
      </w:r>
      <w:r w:rsidRPr="004C524F">
        <w:t xml:space="preserve"> r. poz. </w:t>
      </w:r>
      <w:r w:rsidR="00033191" w:rsidRPr="004C524F">
        <w:t>450</w:t>
      </w:r>
      <w:r w:rsidRPr="004C524F">
        <w:t>) stanowi podstawę oceny sytuacji ekonomiczno-finansowej Samodzielnego Publicznego Zespołu Zakładów Opieki Zdrowotnej w Wyszkowie. Wymieniona wyżej ustawa zobowiązuje kierownika samodzielnego publicznego zakładu opieki zdrowotnej</w:t>
      </w:r>
      <w:r w:rsidR="000D4CCD" w:rsidRPr="004C524F">
        <w:t xml:space="preserve"> każdego roku</w:t>
      </w:r>
      <w:r w:rsidRPr="004C524F">
        <w:t xml:space="preserve"> do sporządzenia </w:t>
      </w:r>
      <w:r w:rsidR="00033191" w:rsidRPr="004C524F">
        <w:br/>
      </w:r>
      <w:r w:rsidRPr="004C524F">
        <w:t>i</w:t>
      </w:r>
      <w:r w:rsidR="000D4CCD" w:rsidRPr="004C524F">
        <w:t xml:space="preserve"> udostępnienia w Biuletynie Informacji Publicznej</w:t>
      </w:r>
      <w:r w:rsidRPr="004C524F">
        <w:t xml:space="preserve"> raportu o sytuacji ekonomiczno-finansowej Zakładu w terminie </w:t>
      </w:r>
      <w:r w:rsidR="000D4CCD" w:rsidRPr="004C524F">
        <w:t>2 miesięcy od dnia upływu terminu do sporządzenia rocznego sprawozdania finansowego</w:t>
      </w:r>
      <w:r w:rsidRPr="004C524F">
        <w:t xml:space="preserve">. </w:t>
      </w:r>
    </w:p>
    <w:p w14:paraId="752EEC08" w14:textId="117A1643" w:rsidR="00FC7DF6" w:rsidRPr="004C524F" w:rsidRDefault="00FC7DF6" w:rsidP="000311D8">
      <w:pPr>
        <w:pStyle w:val="Standard"/>
        <w:spacing w:line="360" w:lineRule="auto"/>
        <w:jc w:val="both"/>
        <w:rPr>
          <w:color w:val="000000" w:themeColor="text1"/>
        </w:rPr>
      </w:pPr>
      <w:r w:rsidRPr="004C524F">
        <w:t xml:space="preserve">Podstawą sporządzenia raportu </w:t>
      </w:r>
      <w:r w:rsidRPr="004C524F">
        <w:rPr>
          <w:color w:val="000000" w:themeColor="text1"/>
        </w:rPr>
        <w:t>jest Sprawozdanie finansowe za 202</w:t>
      </w:r>
      <w:r w:rsidR="001E312A" w:rsidRPr="004C524F">
        <w:rPr>
          <w:color w:val="000000" w:themeColor="text1"/>
        </w:rPr>
        <w:t>4</w:t>
      </w:r>
      <w:r w:rsidRPr="004C524F">
        <w:rPr>
          <w:color w:val="000000" w:themeColor="text1"/>
        </w:rPr>
        <w:t xml:space="preserve"> rok Samodzielnego Publicznego Zespołu Zakładów Opieki Zdrowotnej w Wyszkowie. </w:t>
      </w:r>
      <w:r w:rsidR="000311D8" w:rsidRPr="004C524F">
        <w:rPr>
          <w:color w:val="000000" w:themeColor="text1"/>
        </w:rPr>
        <w:t>Raport s</w:t>
      </w:r>
      <w:r w:rsidRPr="004C524F">
        <w:rPr>
          <w:color w:val="000000" w:themeColor="text1"/>
        </w:rPr>
        <w:t>kłada się z trzech podstawowych elementów:</w:t>
      </w:r>
    </w:p>
    <w:p w14:paraId="2421F0E9" w14:textId="39023018" w:rsidR="00FC7DF6" w:rsidRPr="004C524F" w:rsidRDefault="00FC7DF6" w:rsidP="00F16D3E">
      <w:pPr>
        <w:pStyle w:val="Standard"/>
        <w:widowControl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4C524F">
        <w:rPr>
          <w:b/>
          <w:bCs/>
          <w:color w:val="000000" w:themeColor="text1"/>
        </w:rPr>
        <w:t xml:space="preserve">analizy sytuacji ekonomiczno-finansowej </w:t>
      </w:r>
      <w:r w:rsidRPr="004C524F">
        <w:rPr>
          <w:color w:val="000000" w:themeColor="text1"/>
        </w:rPr>
        <w:t>za 202</w:t>
      </w:r>
      <w:r w:rsidR="001E312A" w:rsidRPr="004C524F">
        <w:rPr>
          <w:color w:val="000000" w:themeColor="text1"/>
        </w:rPr>
        <w:t>4</w:t>
      </w:r>
      <w:r w:rsidRPr="004C524F">
        <w:rPr>
          <w:color w:val="000000" w:themeColor="text1"/>
        </w:rPr>
        <w:t xml:space="preserve"> rok,</w:t>
      </w:r>
    </w:p>
    <w:p w14:paraId="4523D3D1" w14:textId="4E8282F5" w:rsidR="00FC7DF6" w:rsidRPr="004C524F" w:rsidRDefault="00FC7DF6" w:rsidP="00F16D3E">
      <w:pPr>
        <w:pStyle w:val="Standard"/>
        <w:widowControl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4C524F">
        <w:rPr>
          <w:b/>
          <w:bCs/>
          <w:color w:val="000000" w:themeColor="text1"/>
        </w:rPr>
        <w:t>prognozy sytuacji ekonomiczno-finansowej</w:t>
      </w:r>
      <w:r w:rsidRPr="004C524F">
        <w:rPr>
          <w:color w:val="000000" w:themeColor="text1"/>
        </w:rPr>
        <w:t xml:space="preserve"> na lata 202</w:t>
      </w:r>
      <w:r w:rsidR="001E312A" w:rsidRPr="004C524F">
        <w:rPr>
          <w:color w:val="000000" w:themeColor="text1"/>
        </w:rPr>
        <w:t>5</w:t>
      </w:r>
      <w:r w:rsidR="00FE444D" w:rsidRPr="004C524F">
        <w:rPr>
          <w:color w:val="000000" w:themeColor="text1"/>
        </w:rPr>
        <w:t xml:space="preserve"> </w:t>
      </w:r>
      <w:r w:rsidR="00FE444D" w:rsidRPr="004C524F">
        <w:rPr>
          <w:b/>
          <w:i/>
          <w:color w:val="000000" w:themeColor="text1"/>
        </w:rPr>
        <w:t xml:space="preserve">– </w:t>
      </w:r>
      <w:r w:rsidRPr="004C524F">
        <w:rPr>
          <w:color w:val="000000" w:themeColor="text1"/>
        </w:rPr>
        <w:t>202</w:t>
      </w:r>
      <w:r w:rsidR="001E312A" w:rsidRPr="004C524F">
        <w:rPr>
          <w:color w:val="000000" w:themeColor="text1"/>
        </w:rPr>
        <w:t>7</w:t>
      </w:r>
      <w:r w:rsidRPr="004C524F">
        <w:rPr>
          <w:color w:val="000000" w:themeColor="text1"/>
        </w:rPr>
        <w:t xml:space="preserve"> wraz z opisem założeń,</w:t>
      </w:r>
    </w:p>
    <w:p w14:paraId="0A81C31C" w14:textId="77777777" w:rsidR="00FC7DF6" w:rsidRPr="004C524F" w:rsidRDefault="00FC7DF6" w:rsidP="000311D8">
      <w:pPr>
        <w:pStyle w:val="Standard"/>
        <w:widowControl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4C524F">
        <w:rPr>
          <w:b/>
          <w:bCs/>
          <w:color w:val="000000" w:themeColor="text1"/>
        </w:rPr>
        <w:t xml:space="preserve">informacji o istotnych zdarzeniach </w:t>
      </w:r>
      <w:r w:rsidRPr="004C524F">
        <w:rPr>
          <w:color w:val="000000" w:themeColor="text1"/>
        </w:rPr>
        <w:t>mających wpływ na sytuację ekonomiczno-finansową samodzielnego publicznego zakładu opieki zdrowotnej.</w:t>
      </w:r>
    </w:p>
    <w:p w14:paraId="2F26B5E8" w14:textId="403671EE" w:rsidR="00FC7DF6" w:rsidRPr="004C524F" w:rsidRDefault="00FC7DF6" w:rsidP="00FC7D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524F">
        <w:rPr>
          <w:rFonts w:ascii="Times New Roman" w:hAnsi="Times New Roman"/>
          <w:sz w:val="24"/>
          <w:szCs w:val="24"/>
        </w:rPr>
        <w:t>Analiza i prognoza opierają się na wskaźnikach ekonomiczno-finansowych określonych</w:t>
      </w:r>
      <w:r w:rsidRPr="004C524F">
        <w:rPr>
          <w:rFonts w:ascii="Times New Roman" w:hAnsi="Times New Roman"/>
          <w:sz w:val="24"/>
          <w:szCs w:val="24"/>
        </w:rPr>
        <w:br/>
        <w:t xml:space="preserve">w rozporządzeniu Ministra Zdrowia z dnia 12 kwietnia 2017 roku </w:t>
      </w:r>
      <w:r w:rsidRPr="004C524F">
        <w:rPr>
          <w:rFonts w:ascii="Times New Roman" w:hAnsi="Times New Roman"/>
          <w:i/>
          <w:iCs/>
          <w:sz w:val="24"/>
          <w:szCs w:val="24"/>
        </w:rPr>
        <w:t>w sprawie wskaźników ekonomiczno-finansowych niezbędnych do sporządzenia analizy oraz prognozy sytuacji ekonomiczno-finansowej samodzielnych publicznych zakładów opieki zdrowotnej</w:t>
      </w:r>
      <w:r w:rsidRPr="004C524F">
        <w:rPr>
          <w:rFonts w:ascii="Times New Roman" w:hAnsi="Times New Roman"/>
          <w:sz w:val="24"/>
          <w:szCs w:val="24"/>
        </w:rPr>
        <w:t xml:space="preserve"> </w:t>
      </w:r>
      <w:r w:rsidRPr="004C524F">
        <w:rPr>
          <w:rFonts w:ascii="Times New Roman" w:hAnsi="Times New Roman"/>
          <w:sz w:val="24"/>
          <w:szCs w:val="24"/>
        </w:rPr>
        <w:br/>
        <w:t xml:space="preserve">(Dz.U. z 2017 r. poz. 832). Zgodnie z ww. rozporządzeniem, wartościom wskaźników </w:t>
      </w:r>
      <w:r w:rsidR="00141E8A" w:rsidRPr="004C524F">
        <w:rPr>
          <w:rFonts w:ascii="Times New Roman" w:hAnsi="Times New Roman"/>
          <w:sz w:val="24"/>
          <w:szCs w:val="24"/>
        </w:rPr>
        <w:br/>
      </w:r>
      <w:r w:rsidRPr="004C524F">
        <w:rPr>
          <w:rFonts w:ascii="Times New Roman" w:hAnsi="Times New Roman"/>
          <w:sz w:val="24"/>
          <w:szCs w:val="24"/>
        </w:rPr>
        <w:t>w kolejnych latach, zarówno bazowym, jak i prognozowany</w:t>
      </w:r>
      <w:r w:rsidR="009535FB" w:rsidRPr="004C524F">
        <w:rPr>
          <w:rFonts w:ascii="Times New Roman" w:hAnsi="Times New Roman"/>
          <w:sz w:val="24"/>
          <w:szCs w:val="24"/>
        </w:rPr>
        <w:t>ch</w:t>
      </w:r>
      <w:r w:rsidRPr="004C524F">
        <w:rPr>
          <w:rFonts w:ascii="Times New Roman" w:hAnsi="Times New Roman"/>
          <w:sz w:val="24"/>
          <w:szCs w:val="24"/>
        </w:rPr>
        <w:t>, przyporządkowano ocenę punktową.</w:t>
      </w:r>
    </w:p>
    <w:p w14:paraId="66C7730C" w14:textId="0B469F7C" w:rsidR="000859B8" w:rsidRPr="004C524F" w:rsidRDefault="00FC7DF6" w:rsidP="000859B8">
      <w:pPr>
        <w:spacing w:line="360" w:lineRule="auto"/>
        <w:jc w:val="both"/>
        <w:rPr>
          <w:sz w:val="24"/>
          <w:szCs w:val="24"/>
        </w:rPr>
      </w:pPr>
      <w:r w:rsidRPr="004C524F">
        <w:rPr>
          <w:rFonts w:ascii="Times New Roman" w:hAnsi="Times New Roman"/>
          <w:sz w:val="24"/>
          <w:szCs w:val="24"/>
        </w:rPr>
        <w:t>Ze sprawozdania finansowego za 20</w:t>
      </w:r>
      <w:r w:rsidR="00CC51A1" w:rsidRPr="004C524F">
        <w:rPr>
          <w:rFonts w:ascii="Times New Roman" w:hAnsi="Times New Roman"/>
          <w:sz w:val="24"/>
          <w:szCs w:val="24"/>
        </w:rPr>
        <w:t>2</w:t>
      </w:r>
      <w:r w:rsidR="000859B8" w:rsidRPr="004C524F">
        <w:rPr>
          <w:rFonts w:ascii="Times New Roman" w:hAnsi="Times New Roman"/>
          <w:sz w:val="24"/>
          <w:szCs w:val="24"/>
        </w:rPr>
        <w:t>4</w:t>
      </w:r>
      <w:r w:rsidRPr="004C524F">
        <w:rPr>
          <w:rFonts w:ascii="Times New Roman" w:hAnsi="Times New Roman"/>
          <w:sz w:val="24"/>
          <w:szCs w:val="24"/>
        </w:rPr>
        <w:t xml:space="preserve"> rok wynika, 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t xml:space="preserve">że Zakład poniósł stratę netto 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br/>
        <w:t>w wysokości</w:t>
      </w:r>
      <w:r w:rsidR="00743807" w:rsidRPr="004C52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859B8" w:rsidRPr="004C524F">
        <w:rPr>
          <w:rFonts w:ascii="Times New Roman" w:hAnsi="Times New Roman"/>
          <w:b/>
          <w:sz w:val="24"/>
          <w:szCs w:val="24"/>
        </w:rPr>
        <w:t>3 463 274,25</w:t>
      </w:r>
      <w:r w:rsidR="00743807" w:rsidRPr="004C524F">
        <w:rPr>
          <w:rFonts w:ascii="Times New Roman" w:hAnsi="Times New Roman"/>
          <w:b/>
          <w:sz w:val="24"/>
          <w:szCs w:val="24"/>
        </w:rPr>
        <w:t xml:space="preserve"> zł. 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t xml:space="preserve">Koszty amortyzacji w 2024 roku wyniosły </w:t>
      </w:r>
      <w:r w:rsidR="000859B8" w:rsidRPr="004C524F">
        <w:rPr>
          <w:rFonts w:ascii="Times New Roman" w:hAnsi="Times New Roman"/>
          <w:b/>
          <w:color w:val="000000"/>
          <w:sz w:val="24"/>
          <w:szCs w:val="24"/>
        </w:rPr>
        <w:t>4 780 720,59 zł</w:t>
      </w:r>
      <w:r w:rsidR="000859B8" w:rsidRPr="004C524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859B8" w:rsidRPr="004C52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t>zatem</w:t>
      </w:r>
      <w:r w:rsidR="000859B8" w:rsidRPr="004C52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t xml:space="preserve">w świetle przepisów art. 59 ustawy </w:t>
      </w:r>
      <w:r w:rsidR="000859B8" w:rsidRPr="004C524F">
        <w:rPr>
          <w:rFonts w:ascii="Times New Roman" w:hAnsi="Times New Roman"/>
          <w:i/>
          <w:iCs/>
          <w:color w:val="000000"/>
          <w:sz w:val="24"/>
          <w:szCs w:val="24"/>
        </w:rPr>
        <w:t>o działalności leczniczej</w:t>
      </w:r>
      <w:r w:rsidR="000859B8" w:rsidRPr="004C524F">
        <w:rPr>
          <w:rFonts w:ascii="Times New Roman" w:hAnsi="Times New Roman"/>
          <w:color w:val="000000"/>
          <w:sz w:val="24"/>
          <w:szCs w:val="24"/>
        </w:rPr>
        <w:t xml:space="preserve"> podmiot tworzący nie jest zobowiązany do pokrycia straty.</w:t>
      </w:r>
    </w:p>
    <w:p w14:paraId="5DA3F4A6" w14:textId="455445C7" w:rsidR="00BF613B" w:rsidRPr="004C524F" w:rsidRDefault="00FC7DF6" w:rsidP="000311D8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4C524F">
        <w:rPr>
          <w:rFonts w:ascii="Times New Roman" w:hAnsi="Times New Roman"/>
          <w:sz w:val="24"/>
          <w:szCs w:val="24"/>
        </w:rPr>
        <w:t xml:space="preserve">Zbadane przez </w:t>
      </w:r>
      <w:r w:rsidR="00165695" w:rsidRPr="004C524F">
        <w:rPr>
          <w:rFonts w:ascii="Times New Roman" w:hAnsi="Times New Roman"/>
          <w:sz w:val="24"/>
          <w:szCs w:val="24"/>
        </w:rPr>
        <w:t xml:space="preserve">niezależnego </w:t>
      </w:r>
      <w:r w:rsidRPr="004C524F">
        <w:rPr>
          <w:rFonts w:ascii="Times New Roman" w:hAnsi="Times New Roman"/>
          <w:sz w:val="24"/>
          <w:szCs w:val="24"/>
        </w:rPr>
        <w:t>biegłego rewidenta Sprawozdanie finansowe za 20</w:t>
      </w:r>
      <w:r w:rsidR="00CC51A1" w:rsidRPr="004C524F">
        <w:rPr>
          <w:rFonts w:ascii="Times New Roman" w:hAnsi="Times New Roman"/>
          <w:sz w:val="24"/>
          <w:szCs w:val="24"/>
        </w:rPr>
        <w:t>2</w:t>
      </w:r>
      <w:r w:rsidR="000859B8" w:rsidRPr="004C524F">
        <w:rPr>
          <w:rFonts w:ascii="Times New Roman" w:hAnsi="Times New Roman"/>
          <w:sz w:val="24"/>
          <w:szCs w:val="24"/>
        </w:rPr>
        <w:t>4</w:t>
      </w:r>
      <w:r w:rsidRPr="004C524F">
        <w:rPr>
          <w:rFonts w:ascii="Times New Roman" w:hAnsi="Times New Roman"/>
          <w:sz w:val="24"/>
          <w:szCs w:val="24"/>
        </w:rPr>
        <w:t xml:space="preserve"> rok zostało pozytywnie zaopiniowane Uchwałą </w:t>
      </w:r>
      <w:r w:rsidR="00165695" w:rsidRPr="004C524F">
        <w:rPr>
          <w:rFonts w:ascii="Times New Roman" w:hAnsi="Times New Roman"/>
          <w:sz w:val="24"/>
          <w:szCs w:val="24"/>
        </w:rPr>
        <w:t>N</w:t>
      </w:r>
      <w:r w:rsidRPr="004C524F">
        <w:rPr>
          <w:rFonts w:ascii="Times New Roman" w:hAnsi="Times New Roman"/>
          <w:sz w:val="24"/>
          <w:szCs w:val="24"/>
        </w:rPr>
        <w:t xml:space="preserve">r </w:t>
      </w:r>
      <w:r w:rsidR="000859B8" w:rsidRPr="004C524F">
        <w:rPr>
          <w:rFonts w:ascii="Times New Roman" w:hAnsi="Times New Roman"/>
          <w:sz w:val="24"/>
          <w:szCs w:val="24"/>
        </w:rPr>
        <w:t>5</w:t>
      </w:r>
      <w:r w:rsidRPr="004C524F">
        <w:rPr>
          <w:rFonts w:ascii="Times New Roman" w:hAnsi="Times New Roman"/>
          <w:sz w:val="24"/>
          <w:szCs w:val="24"/>
        </w:rPr>
        <w:t xml:space="preserve"> Rady Społecznej SPZZOZ w Wyszkowie</w:t>
      </w:r>
      <w:r w:rsidR="00C1667E" w:rsidRPr="004C524F">
        <w:rPr>
          <w:rFonts w:ascii="Times New Roman" w:hAnsi="Times New Roman"/>
          <w:sz w:val="24"/>
          <w:szCs w:val="24"/>
        </w:rPr>
        <w:t xml:space="preserve"> </w:t>
      </w:r>
      <w:r w:rsidRPr="004C524F">
        <w:rPr>
          <w:rFonts w:ascii="Times New Roman" w:hAnsi="Times New Roman"/>
          <w:sz w:val="24"/>
          <w:szCs w:val="24"/>
        </w:rPr>
        <w:t xml:space="preserve">z dnia </w:t>
      </w:r>
      <w:r w:rsidR="00AB0339" w:rsidRPr="004C524F">
        <w:rPr>
          <w:rFonts w:ascii="Times New Roman" w:hAnsi="Times New Roman"/>
          <w:sz w:val="24"/>
          <w:szCs w:val="24"/>
        </w:rPr>
        <w:br/>
      </w:r>
      <w:r w:rsidR="000859B8" w:rsidRPr="004C524F">
        <w:rPr>
          <w:rFonts w:ascii="Times New Roman" w:hAnsi="Times New Roman"/>
          <w:sz w:val="24"/>
          <w:szCs w:val="24"/>
        </w:rPr>
        <w:t>7</w:t>
      </w:r>
      <w:r w:rsidR="00C02C32" w:rsidRPr="004C524F">
        <w:rPr>
          <w:rFonts w:ascii="Times New Roman" w:hAnsi="Times New Roman"/>
          <w:sz w:val="24"/>
          <w:szCs w:val="24"/>
        </w:rPr>
        <w:t xml:space="preserve"> </w:t>
      </w:r>
      <w:r w:rsidR="000859B8" w:rsidRPr="004C524F">
        <w:rPr>
          <w:rFonts w:ascii="Times New Roman" w:hAnsi="Times New Roman"/>
          <w:sz w:val="24"/>
          <w:szCs w:val="24"/>
        </w:rPr>
        <w:t>maja</w:t>
      </w:r>
      <w:r w:rsidRPr="004C524F">
        <w:rPr>
          <w:rFonts w:ascii="Times New Roman" w:hAnsi="Times New Roman"/>
          <w:sz w:val="24"/>
          <w:szCs w:val="24"/>
        </w:rPr>
        <w:t xml:space="preserve"> 202</w:t>
      </w:r>
      <w:r w:rsidR="000859B8" w:rsidRPr="004C524F">
        <w:rPr>
          <w:rFonts w:ascii="Times New Roman" w:hAnsi="Times New Roman"/>
          <w:sz w:val="24"/>
          <w:szCs w:val="24"/>
        </w:rPr>
        <w:t>5</w:t>
      </w:r>
      <w:r w:rsidRPr="004C524F">
        <w:rPr>
          <w:rFonts w:ascii="Times New Roman" w:hAnsi="Times New Roman"/>
          <w:sz w:val="24"/>
          <w:szCs w:val="24"/>
        </w:rPr>
        <w:t xml:space="preserve"> roku </w:t>
      </w:r>
      <w:r w:rsidRPr="004C524F">
        <w:rPr>
          <w:rFonts w:ascii="Times New Roman" w:hAnsi="Times New Roman"/>
          <w:i/>
          <w:iCs/>
          <w:sz w:val="24"/>
          <w:szCs w:val="24"/>
        </w:rPr>
        <w:t xml:space="preserve">w sprawie </w:t>
      </w:r>
      <w:r w:rsidR="00165695" w:rsidRPr="004C524F">
        <w:rPr>
          <w:rFonts w:ascii="Times New Roman" w:hAnsi="Times New Roman"/>
          <w:i/>
          <w:iCs/>
          <w:sz w:val="24"/>
          <w:szCs w:val="24"/>
        </w:rPr>
        <w:t xml:space="preserve">wyrażenia </w:t>
      </w:r>
      <w:r w:rsidRPr="004C524F">
        <w:rPr>
          <w:rFonts w:ascii="Times New Roman" w:hAnsi="Times New Roman"/>
          <w:i/>
          <w:iCs/>
          <w:sz w:val="24"/>
          <w:szCs w:val="24"/>
        </w:rPr>
        <w:t>opinii dotyczącej sprawozdania finansowego Samodzielnego Publicznego Zespołu Zakładów Opieki Zdrowotnej w Wyszkowie za 20</w:t>
      </w:r>
      <w:r w:rsidR="00CC51A1" w:rsidRPr="004C524F">
        <w:rPr>
          <w:rFonts w:ascii="Times New Roman" w:hAnsi="Times New Roman"/>
          <w:i/>
          <w:iCs/>
          <w:sz w:val="24"/>
          <w:szCs w:val="24"/>
        </w:rPr>
        <w:t>2</w:t>
      </w:r>
      <w:r w:rsidR="000859B8" w:rsidRPr="004C524F">
        <w:rPr>
          <w:rFonts w:ascii="Times New Roman" w:hAnsi="Times New Roman"/>
          <w:i/>
          <w:iCs/>
          <w:sz w:val="24"/>
          <w:szCs w:val="24"/>
        </w:rPr>
        <w:t>4</w:t>
      </w:r>
      <w:r w:rsidRPr="004C524F">
        <w:rPr>
          <w:rFonts w:ascii="Times New Roman" w:hAnsi="Times New Roman"/>
          <w:i/>
          <w:iCs/>
          <w:sz w:val="24"/>
          <w:szCs w:val="24"/>
        </w:rPr>
        <w:t xml:space="preserve"> rok</w:t>
      </w:r>
      <w:r w:rsidRPr="004C524F">
        <w:rPr>
          <w:rFonts w:ascii="Times New Roman" w:hAnsi="Times New Roman"/>
          <w:sz w:val="24"/>
          <w:szCs w:val="24"/>
        </w:rPr>
        <w:t xml:space="preserve"> oraz </w:t>
      </w:r>
      <w:r w:rsidR="004F0531" w:rsidRPr="004C524F">
        <w:rPr>
          <w:rFonts w:ascii="Times New Roman" w:hAnsi="Times New Roman"/>
          <w:sz w:val="24"/>
          <w:szCs w:val="24"/>
        </w:rPr>
        <w:t xml:space="preserve">zatwierdzone Uchwałą </w:t>
      </w:r>
      <w:r w:rsidR="003A2AB5" w:rsidRPr="004C524F">
        <w:rPr>
          <w:rFonts w:ascii="Times New Roman" w:hAnsi="Times New Roman"/>
          <w:sz w:val="24"/>
          <w:szCs w:val="24"/>
        </w:rPr>
        <w:t xml:space="preserve">Rady Powiatu w Wyszkowie </w:t>
      </w:r>
      <w:r w:rsidR="004F0531" w:rsidRPr="004C524F">
        <w:rPr>
          <w:rFonts w:ascii="Times New Roman" w:hAnsi="Times New Roman"/>
          <w:sz w:val="24"/>
          <w:szCs w:val="24"/>
        </w:rPr>
        <w:t xml:space="preserve">z </w:t>
      </w:r>
      <w:r w:rsidR="00165695" w:rsidRPr="004C524F">
        <w:rPr>
          <w:rFonts w:ascii="Times New Roman" w:hAnsi="Times New Roman"/>
          <w:sz w:val="24"/>
          <w:szCs w:val="24"/>
        </w:rPr>
        <w:t xml:space="preserve">dnia </w:t>
      </w:r>
      <w:r w:rsidR="004F0531" w:rsidRPr="004C524F">
        <w:rPr>
          <w:rFonts w:ascii="Times New Roman" w:hAnsi="Times New Roman"/>
          <w:sz w:val="24"/>
          <w:szCs w:val="24"/>
        </w:rPr>
        <w:t>2</w:t>
      </w:r>
      <w:r w:rsidR="00AB0339" w:rsidRPr="004C524F">
        <w:rPr>
          <w:rFonts w:ascii="Times New Roman" w:hAnsi="Times New Roman"/>
          <w:sz w:val="24"/>
          <w:szCs w:val="24"/>
        </w:rPr>
        <w:t>8</w:t>
      </w:r>
      <w:r w:rsidR="00165695" w:rsidRPr="004C524F">
        <w:rPr>
          <w:rFonts w:ascii="Times New Roman" w:hAnsi="Times New Roman"/>
          <w:sz w:val="24"/>
          <w:szCs w:val="24"/>
        </w:rPr>
        <w:t xml:space="preserve"> maja 202</w:t>
      </w:r>
      <w:r w:rsidR="00AB0339" w:rsidRPr="004C524F">
        <w:rPr>
          <w:rFonts w:ascii="Times New Roman" w:hAnsi="Times New Roman"/>
          <w:sz w:val="24"/>
          <w:szCs w:val="24"/>
        </w:rPr>
        <w:t>5</w:t>
      </w:r>
      <w:r w:rsidR="00165695" w:rsidRPr="004C524F">
        <w:rPr>
          <w:rFonts w:ascii="Times New Roman" w:hAnsi="Times New Roman"/>
          <w:sz w:val="24"/>
          <w:szCs w:val="24"/>
        </w:rPr>
        <w:t xml:space="preserve"> roku </w:t>
      </w:r>
      <w:r w:rsidR="004F0531" w:rsidRPr="004C524F">
        <w:rPr>
          <w:rFonts w:ascii="Times New Roman" w:hAnsi="Times New Roman"/>
          <w:i/>
          <w:iCs/>
          <w:sz w:val="24"/>
          <w:szCs w:val="24"/>
        </w:rPr>
        <w:t>w sprawie zatwierdzenia sprawozdania finansowego SPZZOZ w Wyszkowie za 202</w:t>
      </w:r>
      <w:r w:rsidR="00AB0339" w:rsidRPr="004C524F">
        <w:rPr>
          <w:rFonts w:ascii="Times New Roman" w:hAnsi="Times New Roman"/>
          <w:i/>
          <w:iCs/>
          <w:sz w:val="24"/>
          <w:szCs w:val="24"/>
        </w:rPr>
        <w:t>4</w:t>
      </w:r>
      <w:r w:rsidR="004F0531" w:rsidRPr="004C524F">
        <w:rPr>
          <w:rFonts w:ascii="Times New Roman" w:hAnsi="Times New Roman"/>
          <w:i/>
          <w:iCs/>
          <w:sz w:val="24"/>
          <w:szCs w:val="24"/>
        </w:rPr>
        <w:t xml:space="preserve"> rok</w:t>
      </w:r>
      <w:r w:rsidR="007063BD" w:rsidRPr="004C524F">
        <w:rPr>
          <w:rFonts w:ascii="Times New Roman" w:hAnsi="Times New Roman"/>
          <w:sz w:val="24"/>
          <w:szCs w:val="24"/>
        </w:rPr>
        <w:t>.</w:t>
      </w:r>
    </w:p>
    <w:tbl>
      <w:tblPr>
        <w:tblpPr w:leftFromText="142" w:rightFromText="142" w:vertAnchor="text" w:tblpXSpec="center" w:tblpY="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364"/>
        <w:gridCol w:w="1276"/>
        <w:gridCol w:w="1276"/>
        <w:gridCol w:w="1276"/>
        <w:gridCol w:w="1275"/>
      </w:tblGrid>
      <w:tr w:rsidR="001E312A" w:rsidRPr="001E312A" w14:paraId="212FBAE7" w14:textId="77777777" w:rsidTr="003C43FA">
        <w:trPr>
          <w:trHeight w:val="4191"/>
        </w:trPr>
        <w:tc>
          <w:tcPr>
            <w:tcW w:w="9072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B01DE" w14:textId="40E2DF1D" w:rsidR="00BF613B" w:rsidRPr="00AB0339" w:rsidRDefault="00BF613B" w:rsidP="00BF613B">
            <w:pPr>
              <w:pStyle w:val="Akapitzlist"/>
              <w:numPr>
                <w:ilvl w:val="0"/>
                <w:numId w:val="22"/>
              </w:numPr>
              <w:ind w:left="360" w:hanging="20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Analiza sytuacji ekonomiczno – finansowej w 202</w:t>
            </w:r>
            <w:r w:rsidR="001E312A"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roku oraz prognoza </w:t>
            </w:r>
            <w:r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>na lata 202</w:t>
            </w:r>
            <w:r w:rsidR="001E312A"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>-202</w:t>
            </w:r>
            <w:r w:rsidR="001E312A"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  <w:p w14:paraId="0A43968A" w14:textId="38FF557B" w:rsidR="00BF613B" w:rsidRPr="00AB0339" w:rsidRDefault="00BF613B" w:rsidP="00BA7D7C">
            <w:pPr>
              <w:spacing w:line="360" w:lineRule="auto"/>
              <w:jc w:val="both"/>
            </w:pP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W tabelach przedstawiono dane ze sprawozdania finansowego za 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rok oraz prognozę danych sprawozdawczych na lata 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BA7D7C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7D7C"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– 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. Założenia do prognozy na kolejne trzy lata zostały przedstawione w dalszej części raportu. Na podstawie tych danych dokonano wyliczenia wartości wskaźników ekonomiczno-finansowych za rok 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oraz na lata </w:t>
            </w:r>
            <w:r w:rsidR="001E22F5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BA7D7C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7D7C" w:rsidRPr="00AB0339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 w:rsidR="008E331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 w:rsidR="001E312A"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AB033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5DF2ED65" w14:textId="77777777" w:rsidR="00BF613B" w:rsidRPr="00AB0339" w:rsidRDefault="00BF613B" w:rsidP="003C43FA">
            <w:pPr>
              <w:spacing w:after="100" w:line="24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B03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I.1. Rachunek Zysków i Strat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931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1"/>
            </w:tblGrid>
            <w:tr w:rsidR="00AB0339" w:rsidRPr="00AB0339" w14:paraId="30AF6CF4" w14:textId="77777777" w:rsidTr="003C43FA">
              <w:trPr>
                <w:trHeight w:val="925"/>
              </w:trPr>
              <w:tc>
                <w:tcPr>
                  <w:tcW w:w="9311" w:type="dxa"/>
                  <w:shd w:val="clear" w:color="auto" w:fill="D9D9D9" w:themeFill="background1" w:themeFillShade="D9"/>
                  <w:vAlign w:val="center"/>
                </w:tcPr>
                <w:p w14:paraId="4B8A1D8C" w14:textId="77777777" w:rsidR="00BF613B" w:rsidRPr="00AB0339" w:rsidRDefault="00BF613B" w:rsidP="003C43FA">
                  <w:pPr>
                    <w:ind w:left="-185" w:right="199" w:firstLine="14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B0339">
                    <w:rPr>
                      <w:b/>
                      <w:bCs/>
                      <w:sz w:val="16"/>
                      <w:szCs w:val="16"/>
                    </w:rPr>
                    <w:t>RACHUNEK ZYSKÓW I STRAT</w:t>
                  </w:r>
                </w:p>
                <w:p w14:paraId="0C9C663E" w14:textId="042FBE8C" w:rsidR="00BF613B" w:rsidRPr="00AB0339" w:rsidRDefault="00BF613B" w:rsidP="003C43FA">
                  <w:pPr>
                    <w:ind w:left="-118" w:right="66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B0339">
                    <w:rPr>
                      <w:b/>
                      <w:bCs/>
                      <w:sz w:val="16"/>
                      <w:szCs w:val="16"/>
                    </w:rPr>
                    <w:t>sporządzony za okres od 01.01.202</w:t>
                  </w:r>
                  <w:r w:rsidR="00F50C82" w:rsidRPr="00AB0339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Pr="00AB0339">
                    <w:rPr>
                      <w:b/>
                      <w:bCs/>
                      <w:sz w:val="16"/>
                      <w:szCs w:val="16"/>
                    </w:rPr>
                    <w:t xml:space="preserve"> r. do 31.12.202</w:t>
                  </w:r>
                  <w:r w:rsidR="00F50C82" w:rsidRPr="00AB0339">
                    <w:rPr>
                      <w:b/>
                      <w:bCs/>
                      <w:sz w:val="16"/>
                      <w:szCs w:val="16"/>
                    </w:rPr>
                    <w:t>7</w:t>
                  </w:r>
                  <w:r w:rsidRPr="00AB0339">
                    <w:rPr>
                      <w:b/>
                      <w:bCs/>
                      <w:sz w:val="16"/>
                      <w:szCs w:val="16"/>
                    </w:rPr>
                    <w:t>r.</w:t>
                  </w:r>
                </w:p>
                <w:p w14:paraId="670B1EF4" w14:textId="77777777" w:rsidR="00BF613B" w:rsidRPr="00AB0339" w:rsidRDefault="00BF613B" w:rsidP="003C43FA">
                  <w:pPr>
                    <w:ind w:left="-113"/>
                    <w:jc w:val="center"/>
                  </w:pPr>
                  <w:r w:rsidRPr="00AB0339">
                    <w:rPr>
                      <w:b/>
                      <w:bCs/>
                      <w:sz w:val="16"/>
                      <w:szCs w:val="16"/>
                    </w:rPr>
                    <w:t>(wariant porównawczy)</w:t>
                  </w:r>
                </w:p>
              </w:tc>
            </w:tr>
          </w:tbl>
          <w:p w14:paraId="54F39F36" w14:textId="77777777" w:rsidR="00BF613B" w:rsidRPr="00AB0339" w:rsidRDefault="00BF613B" w:rsidP="003C43FA">
            <w:pPr>
              <w:spacing w:after="100" w:line="240" w:lineRule="atLeast"/>
            </w:pPr>
          </w:p>
        </w:tc>
      </w:tr>
      <w:tr w:rsidR="001E312A" w:rsidRPr="001E312A" w14:paraId="650A0EF3" w14:textId="77777777" w:rsidTr="00A11060">
        <w:trPr>
          <w:trHeight w:val="288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F30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Wiersz</w:t>
            </w:r>
          </w:p>
        </w:tc>
        <w:tc>
          <w:tcPr>
            <w:tcW w:w="33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63056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91B53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Dane za rok:</w:t>
            </w:r>
          </w:p>
        </w:tc>
      </w:tr>
      <w:tr w:rsidR="001E312A" w:rsidRPr="001E312A" w14:paraId="62B714FA" w14:textId="77777777" w:rsidTr="00A11060">
        <w:trPr>
          <w:trHeight w:val="216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C6B46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44F5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E2D63" w14:textId="320EC5F1" w:rsidR="00BF613B" w:rsidRPr="00D235D7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235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</w:t>
            </w:r>
            <w:r w:rsidR="00F50C82" w:rsidRPr="00D235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02CA0" w14:textId="71906AE0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</w:t>
            </w:r>
            <w:r w:rsidR="00F50C82"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CB1B1" w14:textId="41C8F711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</w:t>
            </w:r>
            <w:r w:rsidR="00F50C82"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BCA7" w14:textId="06788D6E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</w:t>
            </w:r>
            <w:r w:rsidR="00F50C82"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1E312A" w:rsidRPr="001E312A" w14:paraId="7B78D836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B182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29747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24A79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FC8F7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D90BC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65071" w14:textId="77777777" w:rsidR="00BF613B" w:rsidRPr="007D1D1E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</w:t>
            </w:r>
          </w:p>
        </w:tc>
      </w:tr>
      <w:tr w:rsidR="001E312A" w:rsidRPr="001E312A" w14:paraId="4EE7EC99" w14:textId="77777777" w:rsidTr="00A11060">
        <w:trPr>
          <w:trHeight w:val="492"/>
        </w:trPr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B95A9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972F2" w14:textId="332D8103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Przychody netto ze sprzedaży i zrównane </w:t>
            </w:r>
            <w:r w:rsidR="00A11060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 nimi,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BA618" w14:textId="76A652C1" w:rsidR="00BF613B" w:rsidRPr="00D235D7" w:rsidRDefault="00D235D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35D7">
              <w:rPr>
                <w:rFonts w:ascii="Times New Roman" w:hAnsi="Times New Roman"/>
                <w:b/>
                <w:bCs/>
                <w:sz w:val="16"/>
                <w:szCs w:val="16"/>
              </w:rPr>
              <w:t>115 736 751,99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FF469" w14:textId="08E4D616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128 302 000,00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02634" w14:textId="2E10F863" w:rsidR="00BF613B" w:rsidRPr="007D1D1E" w:rsidRDefault="007D1D1E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135 1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66C5B" w14:textId="34A815AA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146 530</w:t>
            </w:r>
            <w:r w:rsidR="00BF613B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6956275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C8811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CCFE4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od jednostek powiązanych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01DE4" w14:textId="77777777" w:rsidR="00BF613B" w:rsidRPr="00D235D7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35D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9948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036BF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12431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3EC49B00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12A8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832C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Przychody netto ze sprzedaży produktów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225E3" w14:textId="4285F1BC" w:rsidR="00BF613B" w:rsidRPr="00D235D7" w:rsidRDefault="00D235D7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35D7">
              <w:rPr>
                <w:rFonts w:ascii="Times New Roman" w:hAnsi="Times New Roman"/>
                <w:sz w:val="16"/>
                <w:szCs w:val="16"/>
              </w:rPr>
              <w:t>116 793 209,45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44484" w14:textId="361B790E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129 302 000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547A1" w14:textId="371533DE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135 4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9D6DD" w14:textId="7B78059A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146 230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46BAD817" w14:textId="77777777" w:rsidTr="00A11060">
        <w:trPr>
          <w:trHeight w:val="423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2A1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B6F94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Zmiana stanu produktów (zwiększenie - wartość dodatnia, zmniejszenie - wartość ujemna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460D3" w14:textId="3522EAB9" w:rsidR="00BF613B" w:rsidRPr="00D235D7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35D7">
              <w:rPr>
                <w:rFonts w:ascii="Times New Roman" w:hAnsi="Times New Roman"/>
                <w:sz w:val="16"/>
                <w:szCs w:val="16"/>
              </w:rPr>
              <w:t>-</w:t>
            </w:r>
            <w:r w:rsidR="00D235D7" w:rsidRPr="00D235D7">
              <w:rPr>
                <w:rFonts w:ascii="Times New Roman" w:hAnsi="Times New Roman"/>
                <w:sz w:val="16"/>
                <w:szCs w:val="16"/>
              </w:rPr>
              <w:t>1 056 457,46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35365" w14:textId="5BB00D41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-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1 0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3343D" w14:textId="50FFF66A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-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30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ED64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300 000,00</w:t>
            </w:r>
          </w:p>
        </w:tc>
      </w:tr>
      <w:tr w:rsidR="001E312A" w:rsidRPr="001E312A" w14:paraId="6EFE6EA8" w14:textId="77777777" w:rsidTr="00A11060">
        <w:trPr>
          <w:trHeight w:val="408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0BE21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AAE4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Koszt wytworzenia produktów na własne potrzeby jednostki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E00FC" w14:textId="77777777" w:rsidR="00BF613B" w:rsidRPr="00D235D7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35D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8C028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074B3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A03BE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1FB1DBEE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80CA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B4D8C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Przychody netto ze sprzedaży towarów i materiałów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AC1A3" w14:textId="77777777" w:rsidR="00BF613B" w:rsidRPr="00D235D7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35D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5286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19D06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1A774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4C6D9AF0" w14:textId="77777777" w:rsidTr="00A11060">
        <w:trPr>
          <w:trHeight w:val="432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EFFEF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3413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Koszty działalności operacyjnej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3A098" w14:textId="4BA6BC1B" w:rsidR="00BF613B" w:rsidRPr="001D78A3" w:rsidRDefault="00D235D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130 374 796,15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4C7BA" w14:textId="2C4257FB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133 754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F029C" w14:textId="2A6A282D" w:rsidR="00BF613B" w:rsidRPr="007D1D1E" w:rsidRDefault="007D1D1E" w:rsidP="00A11060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141 700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</w:t>
            </w:r>
            <w:r w:rsidR="001E22F5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04EC" w14:textId="37C58271" w:rsidR="00BF613B" w:rsidRPr="0006282A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152 650</w:t>
            </w:r>
            <w:r w:rsidR="000166AD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</w:tr>
      <w:tr w:rsidR="001E312A" w:rsidRPr="001E312A" w14:paraId="2210126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DD4C9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F69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Amortyzacja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7E074" w14:textId="32AE8E53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4 780 720,59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AC2CA" w14:textId="1CA08A64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4 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0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FBAF0" w14:textId="74E2062A" w:rsidR="00BF613B" w:rsidRPr="007D1D1E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4 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03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3772F" w14:textId="1577DF1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4 </w:t>
            </w:r>
            <w:r w:rsidR="000166AD" w:rsidRPr="0006282A">
              <w:rPr>
                <w:rFonts w:ascii="Times New Roman" w:hAnsi="Times New Roman"/>
                <w:sz w:val="16"/>
                <w:szCs w:val="16"/>
              </w:rPr>
              <w:t>2</w:t>
            </w:r>
            <w:r w:rsidRPr="0006282A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</w:tr>
      <w:tr w:rsidR="001E312A" w:rsidRPr="001E312A" w14:paraId="47166B84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FBCF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0E948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Zużycie materiałów i energii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246AD" w14:textId="28E475AA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14 412 056,24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E1452" w14:textId="6D63EB8A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12 170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E4D7A" w14:textId="39F62C20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12 630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F2A4C" w14:textId="7606414E" w:rsidR="00BF613B" w:rsidRPr="0006282A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 xml:space="preserve">13 </w:t>
            </w:r>
            <w:r w:rsidR="007D1D1E" w:rsidRPr="0006282A">
              <w:rPr>
                <w:rFonts w:ascii="Times New Roman" w:hAnsi="Times New Roman"/>
                <w:sz w:val="16"/>
                <w:szCs w:val="16"/>
              </w:rPr>
              <w:t>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</w:tr>
      <w:tr w:rsidR="001E312A" w:rsidRPr="001E312A" w14:paraId="04C46DBB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792DA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97E4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Usługi obce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D3AE9" w14:textId="1A007B4C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44 746 991,11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9D86F" w14:textId="06157C4E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45 045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F85C" w14:textId="6F8E7EB8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46 750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4B9B0" w14:textId="37DA5C9F" w:rsidR="00BF613B" w:rsidRPr="0006282A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48 15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</w:tr>
      <w:tr w:rsidR="001E312A" w:rsidRPr="001E312A" w14:paraId="0A820F2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25BC6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7A7A7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Podatki i opłaty,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77AB9" w14:textId="71272ACF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433 395,77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BE8DF" w14:textId="25CBBFA7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34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1686F" w14:textId="2029CD5C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350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057B9" w14:textId="4AA92216" w:rsidR="00BF613B" w:rsidRPr="0006282A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35</w:t>
            </w:r>
            <w:r w:rsidR="000166AD" w:rsidRPr="0006282A">
              <w:rPr>
                <w:rFonts w:ascii="Times New Roman" w:hAnsi="Times New Roman"/>
                <w:sz w:val="16"/>
                <w:szCs w:val="16"/>
              </w:rPr>
              <w:t>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75DFC5F6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D095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B2558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podatek akcyzowy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46E4B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81E78" w14:textId="418A9AC7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5B8BD" w14:textId="576294AA" w:rsidR="00BF613B" w:rsidRPr="007D1D1E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CE7A6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759100C2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5578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V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DB40A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Wynagrodzenia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9622" w14:textId="2EB645C9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54 632 687,51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C8086" w14:textId="754436D2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61 000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B7D48" w14:textId="572108E8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65 880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1FC83" w14:textId="7A4BB5BE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69 170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4513E02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70424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6C80D" w14:textId="73BB1219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Ubezpieczenia społeczne i inne świadczenia, </w:t>
            </w:r>
            <w:r w:rsidR="00A11060" w:rsidRPr="00F50C8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54E94" w14:textId="619C42B8" w:rsidR="00BF613B" w:rsidRPr="001D78A3" w:rsidRDefault="00D235D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10 794 161,73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42B8E" w14:textId="0FED0750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10 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620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7AB60" w14:textId="19390A6D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11 460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62B9C" w14:textId="02BAFDC8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12 030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79A3904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C1CC1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DBF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emerytalne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B535" w14:textId="6DC9B6E3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4 825 586,09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7777E" w14:textId="49FBAC5B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4 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554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FC9F5" w14:textId="708083CC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4 910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383C9" w14:textId="7C4459FF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5 150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286735D4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3FBD2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067F4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Pozostałe koszty rodzajowe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0CC1C" w14:textId="655F7A4F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574 783,20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35185" w14:textId="1A5C4646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57</w:t>
            </w:r>
            <w:r w:rsidR="007D1D1E" w:rsidRPr="007D1D1E">
              <w:rPr>
                <w:rFonts w:ascii="Times New Roman" w:hAnsi="Times New Roman"/>
                <w:sz w:val="16"/>
                <w:szCs w:val="16"/>
              </w:rPr>
              <w:t>9</w:t>
            </w:r>
            <w:r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B4530" w14:textId="6531F14B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60</w:t>
            </w:r>
            <w:r w:rsidR="00E634E1" w:rsidRPr="007D1D1E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A359A" w14:textId="635E52F6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60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</w:tr>
      <w:tr w:rsidR="001E312A" w:rsidRPr="001E312A" w14:paraId="155EF38F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8DA8A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48F6A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Wartość sprzedanych towarów i materiałów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EA095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3747C" w14:textId="4EC26318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8725D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85844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5766068E" w14:textId="77777777" w:rsidTr="00A11060">
        <w:trPr>
          <w:trHeight w:val="38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27A08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070E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Zysk (strata) ze sprzedaży (A - B)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737D7" w14:textId="6146CDBF" w:rsidR="00BF613B" w:rsidRPr="001D78A3" w:rsidRDefault="00BF613B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1D78A3"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14 638 044,16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5ED40" w14:textId="3EE76DA9" w:rsidR="00BF613B" w:rsidRPr="007D1D1E" w:rsidRDefault="00BB061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7D1D1E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5 452 000</w:t>
            </w: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B884A" w14:textId="445F5097" w:rsidR="00BF613B" w:rsidRPr="007D1D1E" w:rsidRDefault="00E634E1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7D1D1E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6 600</w:t>
            </w: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86921" w14:textId="78C97F11" w:rsidR="00BF613B" w:rsidRPr="0006282A" w:rsidRDefault="00BF613B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06282A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6 120</w:t>
            </w:r>
            <w:r w:rsidR="000166AD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</w:tr>
      <w:tr w:rsidR="001E312A" w:rsidRPr="001E312A" w14:paraId="3F39E3CE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6613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B1B9E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Pozostałe przychody operacyjne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F6A8B" w14:textId="67325EE7" w:rsidR="00BF613B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13 881 029,94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3E92" w14:textId="01D4EECC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7 860 000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84C58" w14:textId="0DEFB69C" w:rsidR="00BF613B" w:rsidRPr="007D1D1E" w:rsidRDefault="007D1D1E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8 8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595A0" w14:textId="75FF4D71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8 8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00 000,00</w:t>
            </w:r>
          </w:p>
        </w:tc>
      </w:tr>
      <w:tr w:rsidR="001E312A" w:rsidRPr="001E312A" w14:paraId="51C3CF47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370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C84D9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Zysk z tytułu rozchodu niefinansowych aktywów trwałych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13DFD" w14:textId="26F601A2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7 800,00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405D9" w14:textId="60D9C27A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14818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7C0FE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D72BEAC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3AC22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F9049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Dotacje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F04A1" w14:textId="202393A4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4 158 778,57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17298" w14:textId="34C58E63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4 260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636D2" w14:textId="64993360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4 3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>00 000,00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1C4AB" w14:textId="6D0D0C0B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4 300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783BD237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98B34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FEA4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Aktualizacja wartości aktywów niefinansowych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EAE9E" w14:textId="06D9F9DC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5 973 158,63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DE9D2" w14:textId="69ACC33C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FF208" w14:textId="5EACFF83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500 000,00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0774" w14:textId="173E9C81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500 000,00</w:t>
            </w:r>
          </w:p>
        </w:tc>
      </w:tr>
      <w:tr w:rsidR="001E312A" w:rsidRPr="001E312A" w14:paraId="54EE4789" w14:textId="77777777" w:rsidTr="00A11060">
        <w:trPr>
          <w:trHeight w:val="216"/>
        </w:trPr>
        <w:tc>
          <w:tcPr>
            <w:tcW w:w="60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C897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2228C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 przychody operacyjne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434EC" w14:textId="512D4622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3 741 292,74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EEFF8" w14:textId="60329526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3 200 000</w:t>
            </w:r>
            <w:r w:rsidR="003C37C4" w:rsidRPr="007D1D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8B357" w14:textId="18A7A399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4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37C4" w:rsidRPr="007D1D1E">
              <w:rPr>
                <w:rFonts w:ascii="Times New Roman" w:hAnsi="Times New Roman"/>
                <w:sz w:val="16"/>
                <w:szCs w:val="16"/>
              </w:rPr>
              <w:t>0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>00 000,00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4FDEC" w14:textId="0C2C7201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4 0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00 000,00</w:t>
            </w:r>
          </w:p>
        </w:tc>
      </w:tr>
      <w:tr w:rsidR="001E312A" w:rsidRPr="001E312A" w14:paraId="183E86EA" w14:textId="77777777" w:rsidTr="00A11060">
        <w:trPr>
          <w:trHeight w:val="44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35E6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F9E4E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Pozostałe koszty operacyjne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909CC" w14:textId="25FACACF" w:rsidR="00BF613B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3 445 279,60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9D3DD" w14:textId="41B9E939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970 000,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1AFAE" w14:textId="0596BA43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82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DA3B7" w14:textId="6D494F2E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82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0 000,00</w:t>
            </w:r>
          </w:p>
        </w:tc>
      </w:tr>
      <w:tr w:rsidR="001E312A" w:rsidRPr="001E312A" w14:paraId="72933949" w14:textId="77777777" w:rsidTr="00A11060">
        <w:trPr>
          <w:trHeight w:val="408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A73E9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D6E43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Strata z tytułu rozchodu niefinansowych aktywów trwałych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BD827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04BDF" w14:textId="0C7041B6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BA5F1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9F906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7BC3D569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9AB1F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672A5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Aktualizacja wartości aktywów niefinansowych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8E820" w14:textId="16AB6AAB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1 493,62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F8B3" w14:textId="14AC4C29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20 000,00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AEC80" w14:textId="3A968D52" w:rsidR="00BF613B" w:rsidRPr="007D1D1E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20 000,00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FE5E8" w14:textId="4D768B38" w:rsidR="00BF613B" w:rsidRPr="0006282A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20 000,00</w:t>
            </w:r>
          </w:p>
        </w:tc>
      </w:tr>
      <w:tr w:rsidR="001E312A" w:rsidRPr="001E312A" w14:paraId="590A7C8D" w14:textId="77777777" w:rsidTr="00A11060">
        <w:trPr>
          <w:trHeight w:val="2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F1F26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AADF9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 koszty operacyjne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119FF" w14:textId="40621E6B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3 443 785,98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F4518" w14:textId="5859F718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950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A946B" w14:textId="74F66F0D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80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C9985" w14:textId="798C4A0A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80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0 000,00</w:t>
            </w:r>
          </w:p>
        </w:tc>
      </w:tr>
      <w:tr w:rsidR="001E312A" w:rsidRPr="001E312A" w14:paraId="25B55EB8" w14:textId="77777777" w:rsidTr="00A11060">
        <w:trPr>
          <w:trHeight w:val="468"/>
        </w:trPr>
        <w:tc>
          <w:tcPr>
            <w:tcW w:w="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9030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36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58978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Zysk (strata) z działalności operacyjnej (C + D - 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9258" w14:textId="56351EDD" w:rsidR="00BF613B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-4 202 293,82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60AF7" w14:textId="60C1ABF1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1 438 000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F8D21" w14:textId="2D1609BE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1 380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61E4E" w14:textId="3F12D3CB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1 860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69ABE103" w14:textId="77777777" w:rsidTr="00A11060">
        <w:trPr>
          <w:trHeight w:val="408"/>
        </w:trPr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F7E27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G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78A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Przychody finansowe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D953C" w14:textId="0047BC55" w:rsidR="00BF613B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2 579 088,99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2F976" w14:textId="00EE387D" w:rsidR="00BF613B" w:rsidRPr="007D1D1E" w:rsidRDefault="00BB061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50 000,00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8F577" w14:textId="7BA27E39" w:rsidR="00BF613B" w:rsidRPr="007D1D1E" w:rsidRDefault="007D1D1E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="00E634E1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DA8A6" w14:textId="3BFEC6D1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0 000,00</w:t>
            </w:r>
          </w:p>
        </w:tc>
      </w:tr>
      <w:tr w:rsidR="001E312A" w:rsidRPr="001E312A" w14:paraId="4731DFE1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21D6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2B7E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Dywidendy i udziały w zyskach,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501DE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564EE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E0303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64A01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703C2741" w14:textId="77777777" w:rsidTr="00A11060">
        <w:trPr>
          <w:trHeight w:val="20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9A92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4B917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a) od jednostek powiązanych, w tym: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D9055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6D2C9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154EB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3846E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2545B95" w14:textId="77777777" w:rsidTr="00A11060">
        <w:trPr>
          <w:trHeight w:val="408"/>
        </w:trPr>
        <w:tc>
          <w:tcPr>
            <w:tcW w:w="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EAC3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D284F" w14:textId="31EAC61F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- w których jednostka posiada zaangażowanie </w:t>
            </w:r>
            <w:r w:rsidR="00107693" w:rsidRPr="00F50C8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 kapitale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04700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09ED8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AA81F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09D6E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2D7E4955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A15B4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F8B89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b) od jednostek pozostałych,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8DBF6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B5A5C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6E22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C1213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799AFF8" w14:textId="77777777" w:rsidTr="00A11060">
        <w:trPr>
          <w:trHeight w:val="408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00F8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01B0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 - w których jednostka posiada zaangażowanie w kapitale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77D5F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1ADCF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5A143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8509E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001F110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0663B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EB48E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Odsetki,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1A499" w14:textId="7E9FEA85" w:rsidR="00BF613B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2 579 088,99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44278" w14:textId="4DF9B128" w:rsidR="00BF613B" w:rsidRPr="007D1D1E" w:rsidRDefault="00BB061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50 000,00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6DAF9" w14:textId="30112CB5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8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>0 000,00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B5327" w14:textId="72A1CA79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8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0 000,00</w:t>
            </w:r>
          </w:p>
        </w:tc>
      </w:tr>
      <w:tr w:rsidR="001E312A" w:rsidRPr="001E312A" w14:paraId="2E8AC78F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A9E2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73059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od jednostek powiązanych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6A796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81D02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D7E57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49452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241AC187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69484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C3E16" w14:textId="6AB24A42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Zysk z tytułu rozchodu aktywów finansowych, </w:t>
            </w:r>
            <w:r w:rsidR="00A11060" w:rsidRPr="00F50C8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672F6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1E35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4C519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A34DC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36A1A088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F173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A2AD0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od jednostek powiązanych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503E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83CE7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556B6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7A6E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5D6FEE3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861B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8866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Aktualizacja wartości aktywów finansowych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A46EF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02D58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85FBC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D962D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4C62BC42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D0955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V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BC49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0BB7B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51821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778B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5C2E6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37C113AD" w14:textId="77777777" w:rsidTr="00A11060">
        <w:trPr>
          <w:trHeight w:val="36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D0D7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4242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Koszty finansowe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D39E" w14:textId="590AA2E4" w:rsidR="00BF613B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1 714 539,42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825B3" w14:textId="5005E786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950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AFA93" w14:textId="229FE78B" w:rsidR="00BF613B" w:rsidRPr="007D1D1E" w:rsidRDefault="007D1D1E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  <w:r w:rsidR="00BF613B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00 000,00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BBC3C" w14:textId="3A143332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00 000,00</w:t>
            </w:r>
          </w:p>
        </w:tc>
      </w:tr>
      <w:tr w:rsidR="001E312A" w:rsidRPr="001E312A" w14:paraId="7F3C8627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CB17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FC425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Odsetki, 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48A99" w14:textId="453AF0BB" w:rsidR="00BF613B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1 714 539,42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5CA2D" w14:textId="44065349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950</w:t>
            </w:r>
            <w:r w:rsidR="00BB061A" w:rsidRPr="007D1D1E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9FBD6" w14:textId="0BBA2FFF" w:rsidR="00BF613B" w:rsidRPr="007D1D1E" w:rsidRDefault="007D1D1E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9</w:t>
            </w:r>
            <w:r w:rsidR="00BF613B" w:rsidRPr="007D1D1E">
              <w:rPr>
                <w:rFonts w:ascii="Times New Roman" w:hAnsi="Times New Roman"/>
                <w:sz w:val="16"/>
                <w:szCs w:val="16"/>
              </w:rPr>
              <w:t>00 000,00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F1245" w14:textId="06DE9CB8" w:rsidR="00BF613B" w:rsidRPr="0006282A" w:rsidRDefault="0006282A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9</w:t>
            </w:r>
            <w:r w:rsidR="00BF613B" w:rsidRPr="0006282A">
              <w:rPr>
                <w:rFonts w:ascii="Times New Roman" w:hAnsi="Times New Roman"/>
                <w:sz w:val="16"/>
                <w:szCs w:val="16"/>
              </w:rPr>
              <w:t>00 000,00</w:t>
            </w:r>
          </w:p>
        </w:tc>
      </w:tr>
      <w:tr w:rsidR="001E312A" w:rsidRPr="001E312A" w14:paraId="494A1663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382FF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56227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dla jednostek powiązanych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35321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8CE1D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8000F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70AE6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726222F5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99F1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22DB" w14:textId="54D7A582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Strata z tytułu rozchodu aktywów finansowych, </w:t>
            </w:r>
            <w:r w:rsidR="00A11060" w:rsidRPr="00F50C8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8070C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328E1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318E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DEB20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64620BC9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066B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7029F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- od jednostek powiązanych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C801B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B467A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B98C8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0EEB2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0CE37F4E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B1828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A6CDB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Aktualizacja wartości aktywów finansowych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EDB7C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6FA4A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CC558" w14:textId="77777777" w:rsidR="00BF613B" w:rsidRPr="007D1D1E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BA05B" w14:textId="77777777" w:rsidR="00BF613B" w:rsidRPr="0006282A" w:rsidRDefault="00BF613B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1DD735A6" w14:textId="77777777" w:rsidTr="00A11060">
        <w:trPr>
          <w:trHeight w:val="216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7885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528A5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53BFF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BA1B8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7E1E4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D1D1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1BDB2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282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28C545AF" w14:textId="77777777" w:rsidTr="00A11060">
        <w:trPr>
          <w:trHeight w:val="372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1EEEE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80131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Zysk (strata) brutto (F + G - H)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A1BF" w14:textId="6A40C19B" w:rsidR="00BF613B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-3 337 744,25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3FA45" w14:textId="78C2BBF6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538 000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519C2" w14:textId="14D924B0" w:rsidR="00BF613B" w:rsidRPr="007D1D1E" w:rsidRDefault="007D1D1E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560</w:t>
            </w:r>
            <w:r w:rsidR="00BF613B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A0882" w14:textId="0036DF5D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1 040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098133F7" w14:textId="77777777" w:rsidTr="00A11060">
        <w:trPr>
          <w:trHeight w:val="204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F17FA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79DA5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Podatek dochodowy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7BC40" w14:textId="25E3D8A8" w:rsidR="00BF613B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125 530,00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DC004" w14:textId="7D130E02" w:rsidR="00BF613B" w:rsidRPr="007D1D1E" w:rsidRDefault="00BB061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7D1D1E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C07FC" w14:textId="20F61DB5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150</w:t>
            </w:r>
            <w:r w:rsidR="00BF613B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20AB" w14:textId="06030DB7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150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1E312A" w:rsidRPr="001E312A" w14:paraId="0DF31D37" w14:textId="77777777" w:rsidTr="00A11060">
        <w:trPr>
          <w:trHeight w:val="420"/>
        </w:trPr>
        <w:tc>
          <w:tcPr>
            <w:tcW w:w="6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33750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DD4D3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Pozostałe obowiązkowe zmniejszenia zysku (zwiększenia straty)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778C" w14:textId="77777777" w:rsidR="00BF613B" w:rsidRPr="001D78A3" w:rsidRDefault="00BF613B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907FC" w14:textId="0D7AAE2F" w:rsidR="00BF613B" w:rsidRPr="007D1D1E" w:rsidRDefault="00BB061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40505" w14:textId="77777777" w:rsidR="00BF613B" w:rsidRPr="007D1D1E" w:rsidRDefault="00BF613B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16CAD" w14:textId="77777777" w:rsidR="00BF613B" w:rsidRPr="0006282A" w:rsidRDefault="00BF613B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E312A" w:rsidRPr="001E312A" w14:paraId="3EA73E83" w14:textId="77777777" w:rsidTr="00A11060">
        <w:trPr>
          <w:trHeight w:val="396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47DD4" w14:textId="77777777" w:rsidR="00BF613B" w:rsidRPr="00F50C82" w:rsidRDefault="00BF613B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3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C065C" w14:textId="77777777" w:rsidR="00BF613B" w:rsidRPr="00F50C82" w:rsidRDefault="00BF613B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Zysk (strata) netto (I - J - K)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CB0D0" w14:textId="0F886FCE" w:rsidR="00BF613B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-3 463 274,25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82103" w14:textId="1CB2787D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388 000</w:t>
            </w:r>
            <w:r w:rsidR="00BB061A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736E5" w14:textId="6DCCC128" w:rsidR="00BF613B" w:rsidRPr="007D1D1E" w:rsidRDefault="007D1D1E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410</w:t>
            </w:r>
            <w:r w:rsidR="00BF613B" w:rsidRPr="007D1D1E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1E1FB" w14:textId="2EB93239" w:rsidR="00BF613B" w:rsidRPr="0006282A" w:rsidRDefault="0006282A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890</w:t>
            </w:r>
            <w:r w:rsidR="00BF613B" w:rsidRPr="0006282A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</w:tr>
    </w:tbl>
    <w:p w14:paraId="4A921AFF" w14:textId="5B12BA17" w:rsidR="00DB27A2" w:rsidRPr="00F50C82" w:rsidRDefault="00DB27A2" w:rsidP="00DB27A2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F50C82">
        <w:rPr>
          <w:rFonts w:ascii="Times New Roman" w:eastAsia="Times New Roman" w:hAnsi="Times New Roman"/>
          <w:b/>
          <w:bCs/>
          <w:sz w:val="24"/>
          <w:szCs w:val="24"/>
        </w:rPr>
        <w:t>I.2. Bilans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15"/>
        <w:gridCol w:w="2815"/>
        <w:gridCol w:w="1335"/>
        <w:gridCol w:w="1335"/>
        <w:gridCol w:w="1335"/>
        <w:gridCol w:w="1335"/>
      </w:tblGrid>
      <w:tr w:rsidR="00F50C82" w:rsidRPr="00F50C82" w14:paraId="3983F519" w14:textId="77777777" w:rsidTr="00DB27A2">
        <w:trPr>
          <w:trHeight w:val="572"/>
          <w:jc w:val="center"/>
        </w:trPr>
        <w:tc>
          <w:tcPr>
            <w:tcW w:w="3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D76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4B211D83" w14:textId="50760A59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1F8FEA9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AKTYWA</w:t>
            </w:r>
          </w:p>
          <w:p w14:paraId="6F2801C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558DCE7E" w14:textId="6CD8A4A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4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FA160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Stan na dzień zamknięcia ksiąg </w:t>
            </w:r>
          </w:p>
          <w:p w14:paraId="3C3788B2" w14:textId="503EC22E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rachunkowych (zł, gr)</w:t>
            </w:r>
          </w:p>
        </w:tc>
      </w:tr>
      <w:tr w:rsidR="00F50C82" w:rsidRPr="00F50C82" w14:paraId="717A2CCE" w14:textId="77777777" w:rsidTr="00DB27A2">
        <w:trPr>
          <w:trHeight w:val="308"/>
          <w:jc w:val="center"/>
        </w:trPr>
        <w:tc>
          <w:tcPr>
            <w:tcW w:w="3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5306F" w14:textId="09B6C5F9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FFE38" w14:textId="4F8C3AED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899C3" w14:textId="6E227D56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FAB93" w14:textId="7B7DDB36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60928" w14:textId="599CEE00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F50C82" w:rsidRPr="00F50C82" w14:paraId="6F40C7A8" w14:textId="77777777" w:rsidTr="00DB27A2">
        <w:trPr>
          <w:trHeight w:val="53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5BC9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130" w:type="dxa"/>
            <w:gridSpan w:val="2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1D4E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0DA10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A6A3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A522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5.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E20E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6.</w:t>
            </w:r>
          </w:p>
        </w:tc>
      </w:tr>
      <w:tr w:rsidR="001E312A" w:rsidRPr="001E312A" w14:paraId="5B92EA2B" w14:textId="77777777" w:rsidTr="00DB27A2">
        <w:trPr>
          <w:trHeight w:val="516"/>
          <w:jc w:val="center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8696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0412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AKTYWA  TRWAŁE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03981" w14:textId="570C60D3" w:rsidR="00DB27A2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44 970 573,87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AD683" w14:textId="335EFA41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46 341 300,00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458D3" w14:textId="48342E5F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75 270</w:t>
            </w:r>
            <w:r w:rsidR="00E634E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06C98" w14:textId="65E00B22" w:rsidR="00DB27A2" w:rsidRPr="008E3318" w:rsidRDefault="00B21137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99 783 774,74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12A" w:rsidRPr="001E312A" w14:paraId="6394A67D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63A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1534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Wartości niematerialne i prawne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3EC28" w14:textId="1A3FE43D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148 603,24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7AAED" w14:textId="7854F25A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74 300,00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50B42" w14:textId="36B4CD8E" w:rsidR="00DB27A2" w:rsidRPr="00B21137" w:rsidRDefault="00B21137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2 000 000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DAF8D" w14:textId="1BD540DC" w:rsidR="00DB27A2" w:rsidRPr="008E3318" w:rsidRDefault="008E3318" w:rsidP="003C43FA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1 000 00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953C9D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3E36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79FA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Koszty zakończonych prac rozwojowych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50DE8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34C54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4248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B471C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584B28E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2768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9C87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Wartość firmy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CA30D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7DC14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2A124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CAC8F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39B3319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CBC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145A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 wartości niematerialne i prawne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8CFE8" w14:textId="74EC67CA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148 603,24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CEDBF" w14:textId="65677747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74 300,00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98989" w14:textId="7EF4B8BB" w:rsidR="00DB27A2" w:rsidRPr="00B21137" w:rsidRDefault="00B21137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2 000 000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E1BBF" w14:textId="4436EB62" w:rsidR="00DB27A2" w:rsidRPr="008E3318" w:rsidRDefault="008E3318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1 000 00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8B29AD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40F3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86F4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Zaliczki na wartości niemater. i prawnych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9B8E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C5DFF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EB716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28A5C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3F8D1AC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B763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2C75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Rzeczowe aktywa trwałe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71B25" w14:textId="74ABA114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44 821 970,63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9248C" w14:textId="4B4168F2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46 267 000,00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BF1FB" w14:textId="7393F89D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73 270</w:t>
            </w:r>
            <w:r w:rsidR="00E634E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F00A7" w14:textId="2CB3F19F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98 783 774,74</w:t>
            </w:r>
          </w:p>
        </w:tc>
      </w:tr>
      <w:tr w:rsidR="001E312A" w:rsidRPr="001E312A" w14:paraId="3F82F74C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08681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4E69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Środki trwałe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F25FE" w14:textId="1BE77EF2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44 600 834,13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153C6" w14:textId="53C47CC7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43 047 000,00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785E2" w14:textId="389270C2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53 270</w:t>
            </w:r>
            <w:r w:rsidR="00E634E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7F65D" w14:textId="3C30A9B0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48 783 774,74</w:t>
            </w:r>
          </w:p>
        </w:tc>
      </w:tr>
      <w:tr w:rsidR="001E312A" w:rsidRPr="001E312A" w14:paraId="5A6E1E21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5EA37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6FE05" w14:textId="3195E0DE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grunty (w tym prawo użytkow.wiecz. grun.</w:t>
            </w:r>
            <w:r w:rsidR="00403CF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BEEF0" w14:textId="0DC7C960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5 403 298,63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A6752" w14:textId="0332FD6B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5</w:t>
            </w:r>
            <w:r w:rsidR="00403CFD" w:rsidRPr="00403CFD">
              <w:rPr>
                <w:rFonts w:ascii="Times New Roman" w:hAnsi="Times New Roman"/>
                <w:sz w:val="16"/>
                <w:szCs w:val="16"/>
              </w:rPr>
              <w:t> 397 000,00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A917A" w14:textId="393661E4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5 390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BC33E" w14:textId="7B086329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5 383 774,74</w:t>
            </w:r>
          </w:p>
        </w:tc>
      </w:tr>
      <w:tr w:rsidR="001E312A" w:rsidRPr="001E312A" w14:paraId="5570EB5B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6B47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57F2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budynki lokale i obiekty. inż.ląd.i wodnej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C2A81" w14:textId="6FC77EBF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31 687 003,43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4BD7" w14:textId="126FF411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30 490 000,00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53AB2" w14:textId="5161D7B9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35 0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96BFF" w14:textId="56B3EB33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33 500</w:t>
            </w:r>
            <w:r w:rsidR="000166AD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5CBC5D25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D41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2E5A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urządzenia techniczne i maszyny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1FDD5" w14:textId="11ED41A5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2 368 763,30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3A202" w14:textId="43A5A3B8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1 930 000,00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119" w14:textId="41C11F8B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5 400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A42AA" w14:textId="535E54F6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4 770</w:t>
            </w:r>
            <w:r w:rsidR="000166AD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203B45D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E2D8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5931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d) środki transportu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9E87F" w14:textId="71E5B7A0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409 521,36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9410E" w14:textId="35821F1C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180 000,00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185BC" w14:textId="2A4A488E" w:rsidR="00DB27A2" w:rsidRPr="00B21137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21137" w:rsidRPr="00B21137">
              <w:rPr>
                <w:rFonts w:ascii="Times New Roman" w:hAnsi="Times New Roman"/>
                <w:sz w:val="16"/>
                <w:szCs w:val="16"/>
              </w:rPr>
              <w:t>80</w:t>
            </w:r>
            <w:r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5A5C" w14:textId="207A97E4" w:rsidR="00DB27A2" w:rsidRPr="008E3318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E3318" w:rsidRPr="008E3318">
              <w:rPr>
                <w:rFonts w:ascii="Times New Roman" w:hAnsi="Times New Roman"/>
                <w:sz w:val="16"/>
                <w:szCs w:val="16"/>
              </w:rPr>
              <w:t>30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4400B2D1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297A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0C001" w14:textId="483BA638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e) inne środki</w:t>
            </w:r>
            <w:r w:rsidR="00BA7D7C"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trwałe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2B424" w14:textId="16223C61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4 732 247,41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59163" w14:textId="72967DA4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5 050 000,00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7414D" w14:textId="46A7C275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7 400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12BF9" w14:textId="3CC25323" w:rsidR="00DB27A2" w:rsidRPr="008E3318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E3318" w:rsidRPr="008E3318">
              <w:rPr>
                <w:rFonts w:ascii="Times New Roman" w:hAnsi="Times New Roman"/>
                <w:sz w:val="16"/>
                <w:szCs w:val="16"/>
              </w:rPr>
              <w:t>5 1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</w:tr>
      <w:tr w:rsidR="001E312A" w:rsidRPr="001E312A" w14:paraId="07C07FB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8E11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9E5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Środki trwałe w budowie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A8D41" w14:textId="3DB204E5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221 136,50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9D70C" w14:textId="7875CF68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3 220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BB86F" w14:textId="08E3362E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0 000 000,00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F4254" w14:textId="45008A2F" w:rsidR="00DB27A2" w:rsidRPr="008E3318" w:rsidRDefault="00B21137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0 000 000,00 </w:t>
            </w:r>
          </w:p>
        </w:tc>
      </w:tr>
      <w:tr w:rsidR="001E312A" w:rsidRPr="001E312A" w14:paraId="3BC02DB2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031D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6202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Zaliczki na środki trwałe w budowie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CB150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B43E5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88F5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0E790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F36BF3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5C9D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III.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6EE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Należności długoterminowe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4BBC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D686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98C5F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1378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557E1D0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21B3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AC0F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Od jednostek powiązanych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A3945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3EEFA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3974D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064CE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12D11F4" w14:textId="77777777" w:rsidTr="00DB27A2">
        <w:trPr>
          <w:trHeight w:val="408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EE47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0A03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Od pozostałych jednostek, w których jednostka posiada zaangażowanie w kapitale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6F12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1EBBE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DA893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8CCFF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EB15AA2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683C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A1D5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Od pozostałych jednostek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58234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0E3AE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B3512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C97B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E1F18F2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EE8B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IV.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2BBF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Inwestycje długoterminowe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142B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8BCAC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ADEB0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DD55D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E32A2AD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CAC51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B864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Nieruchomości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C20E0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5F03E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E3D36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F0D6C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B223F62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BAC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A49A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Wartości niematerialne i prawne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B990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9E5AD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F2AB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65547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C773BE8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6947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9F7B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Długoterminowe aktywa finansowe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1E028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137D8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84718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C0D4D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E2C8DDE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213B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B248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w jednostkach powiązanych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62397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0470C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2867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DDE7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B84237C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B432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2B2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udziały lub akcje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C6EA5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DB219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609D3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3CBF5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E74E98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22FB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CD63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papiery wartościowe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212C7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75B98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1C770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CD8C6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8D0685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0232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18F1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udzielone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A81B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E99E7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FFA5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636C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693F835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F37E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08D8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długoterminowe aktywa finansowe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17FFB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78C29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8E1C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A63CF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11E9751" w14:textId="77777777" w:rsidTr="00DB27A2">
        <w:trPr>
          <w:trHeight w:val="40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5D46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7AB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w pozostałych jednostkach, w których jednostka posiada zaangażowanie w kapitale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8025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00354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78F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99890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B1A18D5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FD17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2E62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udziały lub akcje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3EA37" w14:textId="77777777" w:rsidR="00DB27A2" w:rsidRPr="001D78A3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78A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D127A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AABA2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7537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94F61A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76EF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98E9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papiery wartościowe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16EA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BE39B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7678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C9FE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2F608AB0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1D30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9968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udzielone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06A92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53F5A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C3124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61CE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E094F53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54C91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72D3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długoterminowe aktywa finansowe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E8F51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CE554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8542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3023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A232023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4FE7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3EB5C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 w pozostałych jednostkach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FC1E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CE09E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1DF73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5EE48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55C6405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4D2B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4241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udziały lub akcje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AA635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71D24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B869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04ED1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F25936F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5F83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0657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papiery wartościowe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1805D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64C79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08BE2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33359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DE94758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5C25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D8C9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udzielone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6BEBD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0429B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82E84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D61AF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27BC068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F3D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0E555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długoterminowe aktywa finansowe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AB52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3CF97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F9F74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52FE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F1D229E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129A1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6C2C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 inwestycje długoterminowe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B3C76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B5190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4BADC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15095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C1C54E6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5F3F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V.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D528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Długoterminowe rozliczenia międzyokresowe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2D76F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F9C7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30EBF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99D16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063A4F9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B16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0937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Aktywa z tytułu odroczonego podatek dochod.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51EA8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5ED3F" w14:textId="77777777" w:rsidR="00DB27A2" w:rsidRPr="00403CFD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B5809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3C6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04D2216" w14:textId="77777777" w:rsidTr="00DB27A2">
        <w:trPr>
          <w:trHeight w:val="216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C9E9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D51F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Inne rozliczenia międzyokresowe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F292D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B5882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F5B6A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2CE32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4A11E9F" w14:textId="77777777" w:rsidTr="00DB27A2">
        <w:trPr>
          <w:trHeight w:val="564"/>
          <w:jc w:val="center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1A29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7A41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AKTYWA  OBROTOWE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FF940" w14:textId="3F76A53C" w:rsidR="00DB27A2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12 065 183,03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9EABD" w14:textId="4D55B5F3" w:rsidR="00DB27A2" w:rsidRPr="001E312A" w:rsidRDefault="006B444D" w:rsidP="003C43FA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12 </w:t>
            </w:r>
            <w:r w:rsidR="00403CFD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50 000,00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F0A03" w14:textId="069FECAF" w:rsidR="00DB27A2" w:rsidRPr="00B21137" w:rsidRDefault="00E634E1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13 100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FD528" w14:textId="18BAF79A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14 050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</w:tr>
      <w:tr w:rsidR="001E312A" w:rsidRPr="001E312A" w14:paraId="0211C14F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0915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5108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Zapasy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6BA11" w14:textId="2DBB26E8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1 240 892,31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D0786" w14:textId="58D1CC68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1 200 000,00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68882" w14:textId="5D789BEF" w:rsidR="00DB27A2" w:rsidRPr="00B21137" w:rsidRDefault="00E634E1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</w:t>
            </w:r>
            <w:r w:rsidR="00B21137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F9B33" w14:textId="0600760D" w:rsidR="00DB27A2" w:rsidRPr="008E3318" w:rsidRDefault="000166AD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</w:t>
            </w:r>
            <w:r w:rsidR="008E3318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05704519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195A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994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Materiały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354DE" w14:textId="6D88F564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1 240 892,31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BB032" w14:textId="66C12F99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1 200 000,00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36F6A" w14:textId="4C2A52A6" w:rsidR="00DB27A2" w:rsidRPr="00B21137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B21137" w:rsidRPr="00B21137">
              <w:rPr>
                <w:rFonts w:ascii="Times New Roman" w:hAnsi="Times New Roman"/>
                <w:sz w:val="16"/>
                <w:szCs w:val="16"/>
              </w:rPr>
              <w:t>0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61C17" w14:textId="35AA7180" w:rsidR="00DB27A2" w:rsidRPr="008E3318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8E3318" w:rsidRPr="008E3318">
              <w:rPr>
                <w:rFonts w:ascii="Times New Roman" w:hAnsi="Times New Roman"/>
                <w:sz w:val="16"/>
                <w:szCs w:val="16"/>
              </w:rPr>
              <w:t>0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0A33697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7800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7CA5C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Półprodukty i produkty w toku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ADAB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4F677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033BB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D7A8E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D227193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19F7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FA2F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Produkty gotowe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CF9C3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6819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71A5C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0959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59CC93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BF0D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42DA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Towary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8DBCC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29C8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09D1E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88256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8B8C47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17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2FF4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Zaliczki na dostawy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83337" w14:textId="3087D610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19874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25AF4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8210D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D68A156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5F3C7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FE5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Należności krótkoterminowe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C5D9F" w14:textId="6B150009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10 221 459,13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982C" w14:textId="58A462EB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10 </w:t>
            </w:r>
            <w:r w:rsidR="00403CFD" w:rsidRPr="00403CF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</w:t>
            </w:r>
            <w:r w:rsidRPr="00403CF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50 000,00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A89C2" w14:textId="336A7445" w:rsidR="00DB27A2" w:rsidRPr="00B21137" w:rsidRDefault="00E634E1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 </w:t>
            </w:r>
            <w:r w:rsidR="00B21137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450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38CAD" w14:textId="2ABE7E78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12 4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00 000,00 </w:t>
            </w:r>
          </w:p>
        </w:tc>
      </w:tr>
      <w:tr w:rsidR="001E312A" w:rsidRPr="001E312A" w14:paraId="2E9FAD4E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24DF0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4C70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Należności od jednostek powiązanych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44564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6CBBE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31D9F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68A8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8F45939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84C9F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04DF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z tytułu dostaw i usług o okresie spłaty: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B231E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0673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7275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26D3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209B68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FC11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0547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55EC0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0DFD0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71643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DF129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1FEF581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D34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4FED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26DC8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A510C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0676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8B330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57D33D6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D3120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27B9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inne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C120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9BDF8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9A8A9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45DE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2303D18" w14:textId="77777777" w:rsidTr="00DB27A2">
        <w:trPr>
          <w:trHeight w:val="632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A589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51CAE" w14:textId="16BF599F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Należności od pozostałych jednostek, </w:t>
            </w:r>
            <w:r w:rsidR="00107693"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w których jednostka posiada zaangażowanie w kapitale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9FCCD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42A27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E060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9A448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FD6651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47A8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CE7A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z tytułu dostaw i usług o okresie spłaty: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D95E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D3FA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AD5B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5BAA7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34E09D0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12E0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0649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FD3B8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9EBAC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2F74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652A9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AE53E8F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B6A7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06BB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20BF2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13E66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38FB7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D5650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C34C1A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EBC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A5C6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inne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7969C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9CB8B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26A6B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932F5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653F7DD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66D5F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ED4D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Należności od pozostałych jednostek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720C7" w14:textId="2D7C4F1F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10 221 459,13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15DD0" w14:textId="3489E51D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10 </w:t>
            </w:r>
            <w:r w:rsidR="00403CFD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50 000,00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E780" w14:textId="788DECFA" w:rsidR="00DB27A2" w:rsidRPr="00B21137" w:rsidRDefault="00E634E1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11 </w:t>
            </w:r>
            <w:r w:rsidR="00B21137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450</w:t>
            </w: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60BEB" w14:textId="525A73A1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12 4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00 000,00 </w:t>
            </w:r>
          </w:p>
        </w:tc>
      </w:tr>
      <w:tr w:rsidR="001E312A" w:rsidRPr="001E312A" w14:paraId="45EFA3D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8835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B6D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z tytułu dostaw i usług o okresie spłaty: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BEAC1" w14:textId="14BF9275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10 090 404,89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9D9DC" w14:textId="65C8FACE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10 </w:t>
            </w:r>
            <w:r w:rsidR="00403CFD" w:rsidRPr="00403CFD">
              <w:rPr>
                <w:rFonts w:ascii="Times New Roman" w:hAnsi="Times New Roman"/>
                <w:sz w:val="16"/>
                <w:szCs w:val="16"/>
              </w:rPr>
              <w:t>7</w:t>
            </w:r>
            <w:r w:rsidRPr="00403CFD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7AE67" w14:textId="7C485B48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11 3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A8B52" w14:textId="6A31DCBA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12 2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00 000,00 </w:t>
            </w:r>
          </w:p>
        </w:tc>
      </w:tr>
      <w:tr w:rsidR="001E312A" w:rsidRPr="001E312A" w14:paraId="54430262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CA1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1B88A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133FD" w14:textId="35D66D0B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10 090 404,89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4510B" w14:textId="4C88348C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10 </w:t>
            </w:r>
            <w:r w:rsidR="00403CFD" w:rsidRPr="00403CFD">
              <w:rPr>
                <w:rFonts w:ascii="Times New Roman" w:hAnsi="Times New Roman"/>
                <w:sz w:val="16"/>
                <w:szCs w:val="16"/>
              </w:rPr>
              <w:t>7</w:t>
            </w:r>
            <w:r w:rsidRPr="00403CFD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5EE90" w14:textId="23931186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11 3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DBC71" w14:textId="3521539F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12 2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00 000,00 </w:t>
            </w:r>
          </w:p>
        </w:tc>
      </w:tr>
      <w:tr w:rsidR="001E312A" w:rsidRPr="001E312A" w14:paraId="00C647F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F407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81CE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961F9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04CB2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B2E31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7EC70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893FD15" w14:textId="77777777" w:rsidTr="00DB27A2">
        <w:trPr>
          <w:trHeight w:val="590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F9A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CEEC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z tytułu podatków, dotacji, ceł, ubezpieczeń społecznych i zdrowotnych oraz innych tytułów publicznoprawnych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14AAB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A5E10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73A6C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F3F6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B1B410E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0EAD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F112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inne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0E798" w14:textId="79ABF942" w:rsidR="00DB27A2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131 054,24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18C6E" w14:textId="011D33BA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</w:t>
            </w:r>
            <w:r w:rsidR="00DB27A2" w:rsidRPr="00403CFD">
              <w:rPr>
                <w:rFonts w:ascii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54C79" w14:textId="2F4747E7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15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3A91C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200 000,00 </w:t>
            </w:r>
          </w:p>
        </w:tc>
      </w:tr>
      <w:tr w:rsidR="001E312A" w:rsidRPr="001E312A" w14:paraId="206010F1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BA48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3C53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d) dochodzone na drodze sądowej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146E4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95AF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484A8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21EB0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00172F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6C09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III.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684C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Inwestycje krótkoterminowe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4A58" w14:textId="5B5B8B29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567 229,48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BE1B" w14:textId="7C0F3A90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9C4C3" w14:textId="3B93FF42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E3419" w14:textId="24BBCA78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727769FD" w14:textId="77777777" w:rsidTr="00DB27A2">
        <w:trPr>
          <w:trHeight w:val="32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3EC9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8DAB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sz w:val="16"/>
                <w:szCs w:val="16"/>
              </w:rPr>
              <w:t>Krótkoterminowe aktywa finansowe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B613E" w14:textId="7737DFA2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567 229,48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E5B4B" w14:textId="014CEBB6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128F0" w14:textId="1B01E57C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C26C0" w14:textId="36551F1B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17827DB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A11B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738D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w jednostkach powiązanych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0D8F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0FA31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B226F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4E718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BD87D3D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D312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3083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udziały lub akcje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02E60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022D1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9534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CA73C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C1AA6BD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9823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4ADD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papiery wartościowe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51FF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9ABEF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5B2E2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C77BF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4028FC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B7E0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E6C1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udzielone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5AC3B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59A0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9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B860E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44AD475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2336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A26F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krótkoterminowe aktywa finansowe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6C9CC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863B1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522D7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66C05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707BD6B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61C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B78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w pozostałych jednostkach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1A4A4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5DEF3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6F309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6632E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38681E6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865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FA01A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udziały lub akcje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DD4A5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3978F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A05B8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A233D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2B775E6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22ADF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3907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papiery wartościowe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91A4F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520B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F536E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057DC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40BBD24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2F6B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05FA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udzielone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1EC26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48EA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3346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EA6A4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4A51B6A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3E69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1365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krótkoterminowe aktywa finansowe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FB15A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3B78B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50DE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3893E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AF9DDB2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9902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B9EBA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środki pieniężne i inne akta pieniężne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523C2" w14:textId="5DAA5BA5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567 229,48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8950" w14:textId="0B49137B" w:rsidR="00DB27A2" w:rsidRPr="00403CFD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6</w:t>
            </w:r>
            <w:r w:rsidR="00DB27A2" w:rsidRPr="00403CFD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5B8FA" w14:textId="107F5290" w:rsidR="00DB27A2" w:rsidRPr="00B21137" w:rsidRDefault="00B21137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60C7D" w14:textId="13B47D58" w:rsidR="00DB27A2" w:rsidRPr="008E3318" w:rsidRDefault="008E3318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5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20F019BB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AC32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D0ED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środki pieniężne w kasie i na rachunkach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07647" w14:textId="5F888FFB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567 229,48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63F89" w14:textId="768252F2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6</w:t>
            </w:r>
            <w:r w:rsidR="00DB27A2" w:rsidRPr="00403CFD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03806" w14:textId="2CD89902" w:rsidR="00DB27A2" w:rsidRPr="00B21137" w:rsidRDefault="00B21137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1FC13" w14:textId="45F49192" w:rsidR="00DB27A2" w:rsidRPr="008E3318" w:rsidRDefault="008E3318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5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1408AEDF" w14:textId="77777777" w:rsidTr="00DB27A2">
        <w:trPr>
          <w:trHeight w:val="20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7D095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9C01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środki pieniężne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A2124" w14:textId="15C03763" w:rsidR="00DB27A2" w:rsidRPr="001D78A3" w:rsidRDefault="001D78A3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>0,00</w:t>
            </w:r>
            <w:r w:rsidR="00DB27A2" w:rsidRPr="001D78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66187" w14:textId="00B4FEFC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87731" w14:textId="2511A3B3" w:rsidR="00DB27A2" w:rsidRPr="00B21137" w:rsidRDefault="00B21137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,00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19C5F" w14:textId="528168A0" w:rsidR="00DB27A2" w:rsidRPr="008E3318" w:rsidRDefault="00537C91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0,00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E312A" w:rsidRPr="001E312A" w14:paraId="0DB644C9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969F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40BF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inne aktywa pieniężne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BE2A4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2743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206A7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5FAE0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E76652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98B9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CFF0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Inne inwestycje krótkoterminowe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00A27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78A3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61DF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16A7A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E8238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DB0F7DF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3559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IV.</w:t>
            </w:r>
          </w:p>
        </w:tc>
        <w:tc>
          <w:tcPr>
            <w:tcW w:w="3130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78C8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Krótkoterminowe rozliczenia międzyokresowe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7B905" w14:textId="5E9C7438" w:rsidR="00DB27A2" w:rsidRPr="001D78A3" w:rsidRDefault="001D78A3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35 602,11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1A658" w14:textId="6009C858" w:rsidR="00DB27A2" w:rsidRPr="00403CFD" w:rsidRDefault="006B444D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0 000,00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75A47" w14:textId="32104BF4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  <w:r w:rsidR="00DB27A2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0 000,00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F4D9A" w14:textId="574A2D05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  <w:r w:rsidR="00DB27A2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0 000,00 </w:t>
            </w:r>
          </w:p>
        </w:tc>
      </w:tr>
      <w:tr w:rsidR="001E312A" w:rsidRPr="001E312A" w14:paraId="2A347507" w14:textId="77777777" w:rsidTr="00DB27A2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1E13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3130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974C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Należne wpłaty na kapitał (fundusz) podstawowy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133D6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47C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539A5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16C4D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99BC660" w14:textId="77777777" w:rsidTr="00E95D23">
        <w:trPr>
          <w:trHeight w:val="204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A6A1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313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4679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Udziały (akcje własne)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7F6E2" w14:textId="77777777" w:rsidR="00DB27A2" w:rsidRPr="001D78A3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717D0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96CFE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70B5D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DBD1B3D" w14:textId="77777777" w:rsidTr="00E95D23">
        <w:trPr>
          <w:trHeight w:val="454"/>
          <w:jc w:val="center"/>
        </w:trPr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637A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AKTYWA  RAZEM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2C9C8" w14:textId="30540739" w:rsidR="00DB27A2" w:rsidRPr="001D78A3" w:rsidRDefault="001D78A3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8A3">
              <w:rPr>
                <w:rFonts w:ascii="Times New Roman" w:hAnsi="Times New Roman"/>
                <w:b/>
                <w:bCs/>
                <w:sz w:val="16"/>
                <w:szCs w:val="16"/>
              </w:rPr>
              <w:t>57 035 756,90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3C0A4" w14:textId="14922DE1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59 191 300,00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23C42" w14:textId="270B8752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88 370</w:t>
            </w:r>
            <w:r w:rsidR="00E634E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E59F0" w14:textId="60C57089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113 833 774,74</w:t>
            </w:r>
          </w:p>
        </w:tc>
      </w:tr>
      <w:tr w:rsidR="001E312A" w:rsidRPr="001E312A" w14:paraId="126E12CE" w14:textId="77777777" w:rsidTr="00E95D23">
        <w:trPr>
          <w:trHeight w:val="298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34A82" w14:textId="77777777" w:rsidR="00E95D23" w:rsidRPr="001E312A" w:rsidRDefault="00E95D23" w:rsidP="003C43FA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312A" w:rsidRPr="001E312A" w14:paraId="63F6E639" w14:textId="77777777" w:rsidTr="00E95D23">
        <w:trPr>
          <w:trHeight w:val="421"/>
          <w:jc w:val="center"/>
        </w:trPr>
        <w:tc>
          <w:tcPr>
            <w:tcW w:w="3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13F7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14:paraId="018F7E1E" w14:textId="75BB7E44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PASYWA</w:t>
            </w:r>
          </w:p>
          <w:p w14:paraId="7F08031C" w14:textId="78E6002A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CBDF" w14:textId="77777777" w:rsidR="00DB27A2" w:rsidRPr="00F50C82" w:rsidRDefault="00DB27A2" w:rsidP="003C43FA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Stan na dzień zamknięcia ksiąg</w:t>
            </w:r>
          </w:p>
          <w:p w14:paraId="716C549C" w14:textId="685CDD8F" w:rsidR="00DB27A2" w:rsidRPr="00F50C82" w:rsidRDefault="00DB27A2" w:rsidP="003C43FA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rachunkowych (zł, gr)</w:t>
            </w:r>
          </w:p>
        </w:tc>
      </w:tr>
      <w:tr w:rsidR="001E312A" w:rsidRPr="001E312A" w14:paraId="2F848586" w14:textId="77777777" w:rsidTr="00E95D23">
        <w:trPr>
          <w:trHeight w:val="400"/>
          <w:jc w:val="center"/>
        </w:trPr>
        <w:tc>
          <w:tcPr>
            <w:tcW w:w="37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A7191" w14:textId="10643B4C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3B6A5" w14:textId="2519AD51" w:rsidR="00DB27A2" w:rsidRPr="00F50C82" w:rsidRDefault="00DB27A2" w:rsidP="00DB27A2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2B227" w14:textId="4F1C9D16" w:rsidR="00DB27A2" w:rsidRPr="00F50C82" w:rsidRDefault="00DB27A2" w:rsidP="003C43FA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976AE" w14:textId="34F6FDEA" w:rsidR="00DB27A2" w:rsidRPr="00F50C82" w:rsidRDefault="00DB27A2" w:rsidP="003C43FA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ADC5B" w14:textId="4A183CBA" w:rsidR="00DB27A2" w:rsidRPr="00F50C82" w:rsidRDefault="00DB27A2" w:rsidP="003C43FA">
            <w:pPr>
              <w:jc w:val="center"/>
            </w:pPr>
            <w:r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31.12.202</w:t>
            </w:r>
            <w:r w:rsidR="00F50C82" w:rsidRPr="00F50C82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1E312A" w:rsidRPr="001E312A" w14:paraId="668FCAE5" w14:textId="77777777" w:rsidTr="00E95D23">
        <w:trPr>
          <w:trHeight w:val="136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31FD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8B9B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A58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DB6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5D03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5.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E1B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6.</w:t>
            </w:r>
          </w:p>
        </w:tc>
      </w:tr>
      <w:tr w:rsidR="001E312A" w:rsidRPr="001E312A" w14:paraId="36AB1E09" w14:textId="77777777" w:rsidTr="00DB27A2">
        <w:trPr>
          <w:trHeight w:val="516"/>
          <w:jc w:val="center"/>
        </w:trPr>
        <w:tc>
          <w:tcPr>
            <w:tcW w:w="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7B3D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B3A9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KAPITAŁ (FUNDUSZ) WŁASNY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37385" w14:textId="5572F077" w:rsidR="00DB27A2" w:rsidRPr="004271D0" w:rsidRDefault="004271D0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-6 538 225,26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385CB" w14:textId="056D6646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-6 150 225,26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0735F" w14:textId="421BC8B9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-5 740 225,26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6C6F3" w14:textId="07978C12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-4 850 225,26</w:t>
            </w:r>
          </w:p>
        </w:tc>
      </w:tr>
      <w:tr w:rsidR="001E312A" w:rsidRPr="001E312A" w14:paraId="73098479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C1D3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A31B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Kapitał (fundusz) podstawowy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AFD8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14 698 141,59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0D44C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14 698 141,59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D57DB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14 698 141,59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23C8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14 698 141,59 </w:t>
            </w:r>
          </w:p>
        </w:tc>
      </w:tr>
      <w:tr w:rsidR="001E312A" w:rsidRPr="001E312A" w14:paraId="633BF0A4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C077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78DF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Kapitał (fundusz) zapasowy w tym: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F055D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DB48C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45121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9129E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F0C94DC" w14:textId="77777777" w:rsidTr="00DB27A2">
        <w:trPr>
          <w:trHeight w:val="56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BB1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53054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  - nadwyżka wartości sprzedaży (wartości emisyjnej) nad wartością nominalną udziałów  (akcji)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BF197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FF6F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3062E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0C404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66F2C8C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99BC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184A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Kapitał (fundusz) z aktualizacji wyceny </w:t>
            </w: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br/>
              <w:t>w tym: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B062F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926A9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CDAA4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C96BA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8147E5F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CBB91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4992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  - z tytułu aktualizacji wartości godziwej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4EB41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CDFD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857A6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754FE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561BD1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0E42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IV.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D2CEB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Pozostałe kapitały (fundusze) rezerwowe </w:t>
            </w: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br/>
              <w:t>w tym: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1062B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66E72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7E88C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13A98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9EA0254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046C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8A40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  - tworzone zgodnie z umową (statutem spółki)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86E11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34264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6C35B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14969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1FF9953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851C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5B2C8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  - na udziały (akcje) własne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86FAE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15BEC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0545C" w14:textId="77777777" w:rsidR="00DB27A2" w:rsidRPr="00B21137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12F46" w14:textId="77777777" w:rsidR="00DB27A2" w:rsidRPr="008E3318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2B823EF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9D99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V.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D914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Zysk (strata) z lat ubiegłych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A602D" w14:textId="0B1F2C93" w:rsidR="00DB27A2" w:rsidRPr="004271D0" w:rsidRDefault="00BA7D7C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-17</w:t>
            </w:r>
            <w:r w:rsidR="004271D0" w:rsidRPr="004271D0">
              <w:rPr>
                <w:rFonts w:ascii="Times New Roman" w:hAnsi="Times New Roman"/>
                <w:sz w:val="16"/>
                <w:szCs w:val="16"/>
              </w:rPr>
              <w:t> 773 092,60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77F6" w14:textId="66A9E98C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-21 236 366,85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EFB80" w14:textId="10D60620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-20 848 366,85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31CE3" w14:textId="2212CF58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-20 438 366,85</w:t>
            </w:r>
          </w:p>
        </w:tc>
      </w:tr>
      <w:tr w:rsidR="001E312A" w:rsidRPr="001E312A" w14:paraId="06CF95C2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37D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VI.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6909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Zysk (strata) netto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EE5B" w14:textId="1A61B3D4" w:rsidR="00DB27A2" w:rsidRPr="004271D0" w:rsidRDefault="004271D0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-3 463 274,25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622DB" w14:textId="49673B65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388 000,00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3E088" w14:textId="292678A2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41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0</w:t>
            </w:r>
            <w:r w:rsidR="00DB27A2" w:rsidRPr="00B21137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9AB5B" w14:textId="13A30F27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890 000,00</w:t>
            </w:r>
            <w:r w:rsidR="00DB27A2" w:rsidRPr="008E33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E312A" w:rsidRPr="001E312A" w14:paraId="3EA72DFC" w14:textId="77777777" w:rsidTr="00DB27A2">
        <w:trPr>
          <w:trHeight w:val="441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0E2D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VII</w:t>
            </w:r>
          </w:p>
        </w:tc>
        <w:tc>
          <w:tcPr>
            <w:tcW w:w="28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AD76C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Odpisy z zysku netto w ciągu roku obrotowego (wielkość ujemna)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4677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7235E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48259" w14:textId="77777777" w:rsidR="00DB27A2" w:rsidRPr="00B21137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68D3" w14:textId="77777777" w:rsidR="00DB27A2" w:rsidRPr="008E3318" w:rsidRDefault="00DB27A2" w:rsidP="003C43F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B6F81BD" w14:textId="77777777" w:rsidTr="00DB27A2">
        <w:trPr>
          <w:trHeight w:val="540"/>
          <w:jc w:val="center"/>
        </w:trPr>
        <w:tc>
          <w:tcPr>
            <w:tcW w:w="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BF36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50AD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ZOBOWIĄZANIA I REZERWY NA ZOBOWIĄZANIA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C8BFB" w14:textId="325E0332" w:rsidR="00DB27A2" w:rsidRPr="004271D0" w:rsidRDefault="004271D0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63 573 982,16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2DB6C" w14:textId="0D51BE71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65 341 525,26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8A3C4" w14:textId="10297E3E" w:rsidR="00DB27A2" w:rsidRPr="00B21137" w:rsidRDefault="00B21137" w:rsidP="003C43FA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94 110 225,26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F4E66" w14:textId="28DFA438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118 684 000,00</w:t>
            </w:r>
          </w:p>
        </w:tc>
      </w:tr>
      <w:tr w:rsidR="001E312A" w:rsidRPr="001E312A" w14:paraId="391D781E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0EB9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B58C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Rezerwy na zobowiązania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977FF" w14:textId="016C5F58" w:rsidR="00DB27A2" w:rsidRPr="004271D0" w:rsidRDefault="004271D0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6 703 858,00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D6A32" w14:textId="5C2C8436" w:rsidR="00DB27A2" w:rsidRPr="00403CFD" w:rsidRDefault="00403CFD" w:rsidP="003C43F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7 030 000,00</w:t>
            </w:r>
            <w:r w:rsidR="00DB27A2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FE3F8" w14:textId="5B8B6E64" w:rsidR="00DB27A2" w:rsidRPr="00B21137" w:rsidRDefault="00B21137" w:rsidP="003C43FA">
            <w:pPr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7 584 000,00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978D5" w14:textId="41C311BF" w:rsidR="00DB27A2" w:rsidRPr="008E3318" w:rsidRDefault="008E3318" w:rsidP="003C43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7 714</w:t>
            </w:r>
            <w:r w:rsidR="00537C91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</w:tr>
      <w:tr w:rsidR="001E312A" w:rsidRPr="001E312A" w14:paraId="66421AD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5F0B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15455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Rezerwa z tytułu odrocz.podat. dochodow.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1A44" w14:textId="77777777" w:rsidR="00DB27A2" w:rsidRPr="004271D0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5974A" w14:textId="77777777" w:rsidR="00DB27A2" w:rsidRPr="00403CFD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9E3FF" w14:textId="102B6DA9" w:rsidR="00DB27A2" w:rsidRPr="00B21137" w:rsidRDefault="00E634E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C9FFA" w14:textId="376F3399" w:rsidR="00DB27A2" w:rsidRPr="008E3318" w:rsidRDefault="00537C9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2CCDC9F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CFFA7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7712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Rezerwa na świadczenia emeryt. </w:t>
            </w: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i podobne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CB95E" w14:textId="65767391" w:rsidR="00DB27A2" w:rsidRPr="004271D0" w:rsidRDefault="004271D0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6 703 858,00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01E18" w14:textId="604C2E5E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7 030</w:t>
            </w:r>
            <w:r w:rsidR="006B444D" w:rsidRPr="00403CFD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F5B7A" w14:textId="61EF6251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7 584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55293" w14:textId="4BEF15EC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7 714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4CAF7589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9C62B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45DB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długoterminowa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C7705" w14:textId="15408A4D" w:rsidR="00DB27A2" w:rsidRPr="004271D0" w:rsidRDefault="004271D0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5 001 128,00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EDB8C" w14:textId="144633C9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5 250</w:t>
            </w:r>
            <w:r w:rsidR="006B444D" w:rsidRPr="00403CFD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76CE" w14:textId="6ADEB498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5 670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F9AB9" w14:textId="0E9DA59C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5 770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033C2690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E9C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3FE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krótkoterminowa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B5ADE" w14:textId="35EB8AD1" w:rsidR="00DB27A2" w:rsidRPr="004271D0" w:rsidRDefault="004271D0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1 702 730,00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B31E" w14:textId="6D403F77" w:rsidR="00DB27A2" w:rsidRPr="00403CFD" w:rsidRDefault="00403CF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1 780</w:t>
            </w:r>
            <w:r w:rsidR="006B444D" w:rsidRPr="00403CFD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4FC7" w14:textId="55CD3D53" w:rsidR="00DB27A2" w:rsidRPr="00B21137" w:rsidRDefault="00B21137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1 914</w:t>
            </w:r>
            <w:r w:rsidR="00E634E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662E1" w14:textId="3FAD2A14" w:rsidR="00DB27A2" w:rsidRPr="008E3318" w:rsidRDefault="008E3318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1 944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7B1A70F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0071A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D5167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Pozostałe rezerwy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8CEE8" w14:textId="4B0D4777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68919" w14:textId="1CB325C0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676BA" w14:textId="3DB678D6" w:rsidR="00537C91" w:rsidRPr="00B21137" w:rsidRDefault="00E83CE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,</w:t>
            </w:r>
            <w:r w:rsidRPr="00B21137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56D9A" w14:textId="71341F39" w:rsidR="00537C91" w:rsidRPr="008E3318" w:rsidRDefault="00E83CE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,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1E312A" w:rsidRPr="001E312A" w14:paraId="2DC9F52E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D2453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76795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długoterminowe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D9A64" w14:textId="70A99EAB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8D14F" w14:textId="7BF069EC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9B84" w14:textId="3A456C93" w:rsidR="00537C91" w:rsidRPr="00B21137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4EC4D" w14:textId="081000B7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5D81801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FA9D2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2BB66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krótkoterminowe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C174A" w14:textId="08DD7F6C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6468C" w14:textId="71BEFBB3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D72CE" w14:textId="1C4681DC" w:rsidR="00537C91" w:rsidRPr="00B21137" w:rsidRDefault="00E83CE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,</w:t>
            </w:r>
            <w:r w:rsidRPr="00B21137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A0BC0" w14:textId="779EC55D" w:rsidR="00537C91" w:rsidRPr="008E3318" w:rsidRDefault="00E83CE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,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1E312A" w:rsidRPr="001E312A" w14:paraId="2A16DD1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BED2A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632EE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Zobowiązania długoterminowe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CCA05" w14:textId="4DEDBF43" w:rsidR="00537C91" w:rsidRPr="004271D0" w:rsidRDefault="004271D0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3 531 428,65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F21CB" w14:textId="78B5D0BD" w:rsidR="00537C91" w:rsidRPr="00403CFD" w:rsidRDefault="00403CFD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1 880 000,00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04BE1" w14:textId="432AAE3E" w:rsidR="00537C91" w:rsidRPr="00B21137" w:rsidRDefault="00B21137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800 00</w:t>
            </w:r>
            <w:r w:rsidR="00537C9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BB621" w14:textId="77777777" w:rsidR="00537C91" w:rsidRPr="008E3318" w:rsidRDefault="00537C91" w:rsidP="00537C91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590F2DE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C91AC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D56EA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Wobec jednostek powiązanych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C2A46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E7C0C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9B02D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883B2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A9B0EBF" w14:textId="77777777" w:rsidTr="00DB27A2">
        <w:trPr>
          <w:trHeight w:val="510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21920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A9860" w14:textId="6E8FDCB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Wobec pozostałych jednostek, </w:t>
            </w:r>
            <w:r w:rsidR="00107693"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</w: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 których jednostka posiada zaangażowanie w kapitale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453BF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D9B0E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24BAA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DA1F6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14AEA93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16796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FDA27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Wobec pozostałych jednostek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10353" w14:textId="45433F43" w:rsidR="00537C91" w:rsidRPr="004271D0" w:rsidRDefault="004271D0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3 531 428,65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97C57" w14:textId="69244C37" w:rsidR="00537C91" w:rsidRPr="00403CFD" w:rsidRDefault="00403CFD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1 880 000</w:t>
            </w:r>
            <w:r w:rsidR="00537C91"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3F2BE" w14:textId="697D1859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800 00</w:t>
            </w:r>
            <w:r w:rsidR="00537C9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43465" w14:textId="77777777" w:rsidR="00537C91" w:rsidRPr="008E3318" w:rsidRDefault="00537C91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6931443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5C1BF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6AD01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kredyty i pożyczki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7D96E" w14:textId="0C5AC626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3 531 428,65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D112C" w14:textId="7C46E549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1 880 000</w:t>
            </w:r>
            <w:r w:rsidR="00537C91" w:rsidRPr="00403CFD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8B860" w14:textId="1F8DE008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800 00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60A3A" w14:textId="77777777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085D806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D02DD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3BEC9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z tytułu emisji dłużnych papierów wart.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B1171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8EF99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C885D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83213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B7AAD0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D1ED8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514F0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inne zobowiązania finansowe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13E8A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8F7A5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141AB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116F6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474C98EB" w14:textId="77777777" w:rsidTr="00E95D23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D3206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4DE67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d) zobowiązania wekslowe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50788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EDEBF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266C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2B954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E96B1A2" w14:textId="77777777" w:rsidTr="00E95D23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33B32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2E67A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e) inne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8CB9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343BD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A7BC8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B847F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30B881E" w14:textId="77777777" w:rsidTr="00E95D23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8838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III.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B8345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Zobowiązania krótkoterminowe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7A703" w14:textId="0B32AF72" w:rsidR="00537C91" w:rsidRPr="004271D0" w:rsidRDefault="004271D0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27 694 050,46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EF9BB" w14:textId="6BAE5F86" w:rsidR="00537C91" w:rsidRPr="00403CFD" w:rsidRDefault="00403CFD" w:rsidP="00537C91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25 909 525,26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F3407" w14:textId="1813A710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28 236 225,26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BDA1E" w14:textId="154C42A8" w:rsidR="00537C91" w:rsidRPr="008E3318" w:rsidRDefault="008E3318" w:rsidP="00537C91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28 780 000,00</w:t>
            </w:r>
            <w:r w:rsidR="00537C91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12A" w:rsidRPr="001E312A" w14:paraId="4BA0F7B2" w14:textId="77777777" w:rsidTr="00E95D23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1AADC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48A18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Wobec jednostek powiązanych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2A231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2C28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BEC32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1290F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4DB459C" w14:textId="77777777" w:rsidTr="00DB27A2">
        <w:trPr>
          <w:trHeight w:val="449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B39EF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A7099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z tytułu dostaw i usług, o okresie wymagalności: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E7148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C8683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121A3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44016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E206E5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A65AA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AE520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4E992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16413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9052B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81B6A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269A97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6390D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79712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3DDE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14D8F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92D9C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77829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96C6D9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71BA3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C1B26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inne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A5FF7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0546F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E7AA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B2738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77D32C5E" w14:textId="77777777" w:rsidTr="00DB27A2">
        <w:trPr>
          <w:trHeight w:val="550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59A1D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3D67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Zobowiązania wobec pozostałych jednostek, w których jednostka posiada zaangażowanie w kapitale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E5D5B" w14:textId="77777777" w:rsidR="00537C91" w:rsidRPr="004271D0" w:rsidRDefault="00537C91" w:rsidP="00537C91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023BA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79534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39E78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BD3A33E" w14:textId="77777777" w:rsidTr="00DB27A2">
        <w:trPr>
          <w:trHeight w:val="479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A1CFD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0614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z tytułu dostaw i usług, o okresie wymagalności: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103F5" w14:textId="77777777" w:rsidR="00537C91" w:rsidRPr="004271D0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271D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1ADEA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9B0AB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4E9D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15B253EE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A62EE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22366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4B8DA" w14:textId="77777777" w:rsidR="00537C91" w:rsidRPr="004271D0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271D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450E6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48E4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93BA8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64465F2F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A9844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05B7E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D519" w14:textId="77777777" w:rsidR="00537C91" w:rsidRPr="004271D0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271D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62899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073FD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E74DE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58E92946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E75B2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35E1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inne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E01A2" w14:textId="77777777" w:rsidR="00537C91" w:rsidRPr="004271D0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271D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1784B" w14:textId="77777777" w:rsidR="00537C91" w:rsidRPr="00403CFD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03CFD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0CA48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D21DE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4B4F4B83" w14:textId="77777777" w:rsidTr="00DB27A2">
        <w:trPr>
          <w:trHeight w:val="300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1444A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586E6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Zobowiązania wobec pozostałych jednostek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5125B" w14:textId="10D0F5EA" w:rsidR="00537C91" w:rsidRPr="004271D0" w:rsidRDefault="004271D0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27 517 291,18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DD6A5" w14:textId="7BECE9C8" w:rsidR="00537C91" w:rsidRPr="00403CFD" w:rsidRDefault="00403CFD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25 729 000,00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04A83" w14:textId="77541C46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28 036 225,26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763E0" w14:textId="6EA01D8B" w:rsidR="00537C91" w:rsidRPr="008E3318" w:rsidRDefault="008E3318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28 580 000,00</w:t>
            </w:r>
            <w:r w:rsidR="00537C91"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12A" w:rsidRPr="001E312A" w14:paraId="19B48938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0B0D7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CF02F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a) kredyty i pożyczki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7313C" w14:textId="6C7BF716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5 085 487,60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8B5CB" w14:textId="1FC685CF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5 651 000,00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31545" w14:textId="5C7BD31F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5 080 000,00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3E0D1" w14:textId="469E3B34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4 8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</w:tr>
      <w:tr w:rsidR="001E312A" w:rsidRPr="001E312A" w14:paraId="7ACC2918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0F446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7ED7B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b) z tytułu emisji dłużnych papierów wart.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E6F88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9AB2C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866A3" w14:textId="77777777" w:rsidR="00537C91" w:rsidRPr="00B21137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66922" w14:textId="77777777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55EE6F4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18591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DCB4B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c) inne zobowiązania finansowe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CB7E4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76FC9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83036" w14:textId="77777777" w:rsidR="00537C91" w:rsidRPr="00B21137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E5852" w14:textId="77777777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DB843D3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EFC14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95225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d) z tytułu dostaw i usług o okresie wymagalności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14F32" w14:textId="03ADCEC6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11 162 837,29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837BD" w14:textId="5F302433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8 228</w:t>
            </w:r>
            <w:r w:rsidR="00537C91" w:rsidRPr="00403CFD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F09D3" w14:textId="29E70CD0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10 170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8DE62" w14:textId="052BE19C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10 500 000,00</w:t>
            </w:r>
          </w:p>
        </w:tc>
      </w:tr>
      <w:tr w:rsidR="001E312A" w:rsidRPr="001E312A" w14:paraId="69788320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EB08B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7BBDB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do 12 miesięcy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EA808" w14:textId="45E651ED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11 162 837,29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13531" w14:textId="3D383D45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8 228</w:t>
            </w:r>
            <w:r w:rsidR="00537C91" w:rsidRPr="00403CFD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25D10" w14:textId="39AA32DD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10 170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 000,00 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8F47F" w14:textId="42AE3FC8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10 500 000,00</w:t>
            </w:r>
          </w:p>
        </w:tc>
      </w:tr>
      <w:tr w:rsidR="001E312A" w:rsidRPr="001E312A" w14:paraId="14D7A5D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5E68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19852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powyżej 12 miesięcy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D41C7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14DC6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1A701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0B7CA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3E5E9E79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DA7C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7956C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e) zaliczki otrzymane na dostawy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C29EC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12CD6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1C903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4592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0305FE7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256C8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813CB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f) zobowiązania wekslowe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C241E" w14:textId="77777777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276C8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38F02" w14:textId="77777777" w:rsidR="00537C91" w:rsidRPr="00B21137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1E39F" w14:textId="77777777" w:rsidR="00537C91" w:rsidRPr="008E3318" w:rsidRDefault="00537C91" w:rsidP="00537C91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1E312A" w:rsidRPr="001E312A" w14:paraId="2A74288A" w14:textId="77777777" w:rsidTr="00DB27A2">
        <w:trPr>
          <w:trHeight w:val="408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FDB72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27171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g) z tytułu podatków, ceł, ubezpieczeń społecznych i zdrowotnych oraz innych tytułów publicznoprawnych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6E268" w14:textId="3A99BA97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4 124 718,26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867E7" w14:textId="691ED790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4 200</w:t>
            </w:r>
            <w:r w:rsidR="00537C91" w:rsidRPr="00403CFD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6E4A1" w14:textId="427D3482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4 550 225,26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DDAEA" w14:textId="53F03A28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 w:rsidR="008E3318" w:rsidRPr="008E3318">
              <w:rPr>
                <w:rFonts w:ascii="Times New Roman" w:hAnsi="Times New Roman"/>
                <w:sz w:val="16"/>
                <w:szCs w:val="16"/>
              </w:rPr>
              <w:t>780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 xml:space="preserve"> 000,00 </w:t>
            </w:r>
          </w:p>
        </w:tc>
      </w:tr>
      <w:tr w:rsidR="001E312A" w:rsidRPr="001E312A" w14:paraId="1082823D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EE67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DCF11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h) z tytułu wynagrodzeń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D9D5C" w14:textId="211D4E7E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6 298 969,80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AB89F" w14:textId="5A54EC0B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6 700 000,00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9A2AC" w14:textId="3E245CD6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7 236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28483" w14:textId="6F980955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7 </w:t>
            </w:r>
            <w:r w:rsidR="008E3318" w:rsidRPr="008E3318">
              <w:rPr>
                <w:rFonts w:ascii="Times New Roman" w:hAnsi="Times New Roman"/>
                <w:sz w:val="16"/>
                <w:szCs w:val="16"/>
              </w:rPr>
              <w:t>60</w:t>
            </w:r>
            <w:r w:rsidRPr="008E3318">
              <w:rPr>
                <w:rFonts w:ascii="Times New Roman" w:hAnsi="Times New Roman"/>
                <w:sz w:val="16"/>
                <w:szCs w:val="16"/>
              </w:rPr>
              <w:t xml:space="preserve">0 000,00 </w:t>
            </w:r>
          </w:p>
        </w:tc>
      </w:tr>
      <w:tr w:rsidR="001E312A" w:rsidRPr="001E312A" w14:paraId="4A7A1866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B202B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E12CD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i) inne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3FBA5" w14:textId="5378B061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845 278,23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9B320" w14:textId="6185C1F2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950 000,00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98AD3" w14:textId="53A8CEFC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1 0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00 000,00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F7CF7" w14:textId="28B4A649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 xml:space="preserve">900 000,00 </w:t>
            </w:r>
          </w:p>
        </w:tc>
      </w:tr>
      <w:tr w:rsidR="001E312A" w:rsidRPr="001E312A" w14:paraId="0149917A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6E6E2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4402C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Fundusze specjalne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EAA2E" w14:textId="4FBA1CA1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176 759,28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38A84" w14:textId="456983AB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180 525,26</w:t>
            </w:r>
            <w:r w:rsidR="00537C91" w:rsidRPr="00403CF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5C1B1" w14:textId="3F97E9F8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20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 xml:space="preserve">0 000,00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4980A" w14:textId="28E7C37A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20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 xml:space="preserve">0 000,00 </w:t>
            </w:r>
          </w:p>
        </w:tc>
      </w:tr>
      <w:tr w:rsidR="001E312A" w:rsidRPr="001E312A" w14:paraId="49BFD987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EA0A0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IV.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19E2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Rozliczenia międzyokresowe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EA693" w14:textId="2455BAAA" w:rsidR="00537C91" w:rsidRPr="004271D0" w:rsidRDefault="004271D0" w:rsidP="00537C91">
            <w:pPr>
              <w:suppressAutoHyphens w:val="0"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iCs/>
                <w:sz w:val="16"/>
                <w:szCs w:val="16"/>
              </w:rPr>
              <w:t>25 644 645,05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94D71" w14:textId="684BFDA4" w:rsidR="00537C91" w:rsidRPr="00403CFD" w:rsidRDefault="00403CFD" w:rsidP="00537C91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30 522 000,00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C9B13" w14:textId="1B05C9DA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57 490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61C7E" w14:textId="2DC502ED" w:rsidR="00537C91" w:rsidRPr="008E3318" w:rsidRDefault="008E3318" w:rsidP="00537C91">
            <w:pPr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iCs/>
                <w:sz w:val="16"/>
                <w:szCs w:val="16"/>
              </w:rPr>
              <w:t>82 190</w:t>
            </w:r>
            <w:r w:rsidR="00537C91" w:rsidRPr="008E3318">
              <w:rPr>
                <w:rFonts w:ascii="Times New Roman" w:hAnsi="Times New Roman"/>
                <w:iCs/>
                <w:sz w:val="16"/>
                <w:szCs w:val="16"/>
              </w:rPr>
              <w:t> 000,00</w:t>
            </w:r>
          </w:p>
        </w:tc>
      </w:tr>
      <w:tr w:rsidR="001E312A" w:rsidRPr="001E312A" w14:paraId="7324A2BD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8DC05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8CB3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Ujemna wartość firmy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B838D" w14:textId="038933F6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26781" w14:textId="77777777" w:rsidR="00537C91" w:rsidRPr="00403CFD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98AF1" w14:textId="77777777" w:rsidR="00537C91" w:rsidRPr="00B21137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4198A" w14:textId="685499A1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E312A" w:rsidRPr="001E312A" w14:paraId="5897CB39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4242B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C7B08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Inne rozliczenia międzyokresowe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8D3F3" w14:textId="556A752E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25 644 645,05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7D670" w14:textId="75AF3CC7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30 522 000,00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A5345" w14:textId="18E4C692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57 490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9239C" w14:textId="2E16E4E9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82 190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6A243E72" w14:textId="77777777" w:rsidTr="00DB27A2">
        <w:trPr>
          <w:trHeight w:val="204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C2259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859A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długoterminowe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8338B" w14:textId="18A04E0D" w:rsidR="00537C91" w:rsidRPr="004271D0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23</w:t>
            </w:r>
            <w:r w:rsidR="004271D0" w:rsidRPr="004271D0">
              <w:rPr>
                <w:rFonts w:ascii="Times New Roman" w:hAnsi="Times New Roman"/>
                <w:sz w:val="16"/>
                <w:szCs w:val="16"/>
              </w:rPr>
              <w:t> 219 164,69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4A18" w14:textId="37184736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27 212 000,00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D3217" w14:textId="1E6A2953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52 590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77F1C" w14:textId="6E1E5BD3" w:rsidR="00537C91" w:rsidRPr="008E3318" w:rsidRDefault="008E3318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77 690</w:t>
            </w:r>
            <w:r w:rsidR="00537C91" w:rsidRPr="008E3318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</w:tr>
      <w:tr w:rsidR="001E312A" w:rsidRPr="001E312A" w14:paraId="179BDBF8" w14:textId="77777777" w:rsidTr="00DB27A2">
        <w:trPr>
          <w:trHeight w:val="216"/>
          <w:jc w:val="center"/>
        </w:trPr>
        <w:tc>
          <w:tcPr>
            <w:tcW w:w="9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C7D33" w14:textId="77777777" w:rsidR="00537C91" w:rsidRPr="00F50C82" w:rsidRDefault="00537C91" w:rsidP="00537C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BC294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sz w:val="16"/>
                <w:szCs w:val="16"/>
              </w:rPr>
              <w:t xml:space="preserve">     - krótkoterminowe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47252" w14:textId="1C5E5C67" w:rsidR="00537C91" w:rsidRPr="004271D0" w:rsidRDefault="004271D0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71D0">
              <w:rPr>
                <w:rFonts w:ascii="Times New Roman" w:hAnsi="Times New Roman"/>
                <w:sz w:val="16"/>
                <w:szCs w:val="16"/>
              </w:rPr>
              <w:t>2 425 480,36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835D" w14:textId="0DB84D6B" w:rsidR="00537C91" w:rsidRPr="00403CFD" w:rsidRDefault="00403CFD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03CFD">
              <w:rPr>
                <w:rFonts w:ascii="Times New Roman" w:hAnsi="Times New Roman"/>
                <w:sz w:val="16"/>
                <w:szCs w:val="16"/>
              </w:rPr>
              <w:t>3 310 000,00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65CE1" w14:textId="53C64F25" w:rsidR="00537C91" w:rsidRPr="00B21137" w:rsidRDefault="00B21137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137">
              <w:rPr>
                <w:rFonts w:ascii="Times New Roman" w:hAnsi="Times New Roman"/>
                <w:sz w:val="16"/>
                <w:szCs w:val="16"/>
              </w:rPr>
              <w:t>4 900</w:t>
            </w:r>
            <w:r w:rsidR="00537C91" w:rsidRPr="00B21137">
              <w:rPr>
                <w:rFonts w:ascii="Times New Roman" w:hAnsi="Times New Roman"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5F244" w14:textId="15794F49" w:rsidR="00537C91" w:rsidRPr="008E3318" w:rsidRDefault="00537C91" w:rsidP="00537C9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3318">
              <w:rPr>
                <w:rFonts w:ascii="Times New Roman" w:hAnsi="Times New Roman"/>
                <w:sz w:val="16"/>
                <w:szCs w:val="16"/>
              </w:rPr>
              <w:t>4 500 000,00</w:t>
            </w:r>
          </w:p>
        </w:tc>
      </w:tr>
      <w:tr w:rsidR="001E312A" w:rsidRPr="001E312A" w14:paraId="4E628707" w14:textId="77777777" w:rsidTr="00E95D23">
        <w:trPr>
          <w:trHeight w:val="454"/>
          <w:jc w:val="center"/>
        </w:trPr>
        <w:tc>
          <w:tcPr>
            <w:tcW w:w="3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27496" w14:textId="77777777" w:rsidR="00537C91" w:rsidRPr="00F50C82" w:rsidRDefault="00537C91" w:rsidP="00537C91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PASYWA  RAZEM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F80DF" w14:textId="6FE70350" w:rsidR="00537C91" w:rsidRPr="004271D0" w:rsidRDefault="004271D0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1D0">
              <w:rPr>
                <w:rFonts w:ascii="Times New Roman" w:hAnsi="Times New Roman"/>
                <w:b/>
                <w:bCs/>
                <w:sz w:val="16"/>
                <w:szCs w:val="16"/>
              </w:rPr>
              <w:t>57 035 756,90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FD7CE" w14:textId="74D31BE4" w:rsidR="00537C91" w:rsidRPr="00403CFD" w:rsidRDefault="00403CFD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3CFD">
              <w:rPr>
                <w:rFonts w:ascii="Times New Roman" w:hAnsi="Times New Roman"/>
                <w:b/>
                <w:bCs/>
                <w:sz w:val="16"/>
                <w:szCs w:val="16"/>
              </w:rPr>
              <w:t>59 191 300,00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6F027" w14:textId="68E31242" w:rsidR="00537C91" w:rsidRPr="00B21137" w:rsidRDefault="00B21137" w:rsidP="00537C91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88 370</w:t>
            </w:r>
            <w:r w:rsidR="00537C91" w:rsidRPr="00B21137">
              <w:rPr>
                <w:rFonts w:ascii="Times New Roman" w:hAnsi="Times New Roman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7B472" w14:textId="7DCCE879" w:rsidR="00537C91" w:rsidRPr="008E3318" w:rsidRDefault="008E3318" w:rsidP="00537C9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3318">
              <w:rPr>
                <w:rFonts w:ascii="Times New Roman" w:hAnsi="Times New Roman"/>
                <w:b/>
                <w:bCs/>
                <w:sz w:val="16"/>
                <w:szCs w:val="16"/>
              </w:rPr>
              <w:t>113 833 774,74</w:t>
            </w:r>
          </w:p>
        </w:tc>
      </w:tr>
    </w:tbl>
    <w:p w14:paraId="74968E2C" w14:textId="511F1F69" w:rsidR="002A409A" w:rsidRPr="00F50C82" w:rsidRDefault="00071147" w:rsidP="00071147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F50C82">
        <w:rPr>
          <w:rFonts w:ascii="Times New Roman" w:eastAsia="Times New Roman" w:hAnsi="Times New Roman"/>
          <w:b/>
          <w:bCs/>
          <w:sz w:val="24"/>
          <w:szCs w:val="24"/>
        </w:rPr>
        <w:t>I.3. Wskaźniki ekonomiczno-finansowe</w:t>
      </w:r>
    </w:p>
    <w:tbl>
      <w:tblPr>
        <w:tblW w:w="9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2175"/>
        <w:gridCol w:w="878"/>
        <w:gridCol w:w="585"/>
        <w:gridCol w:w="878"/>
        <w:gridCol w:w="585"/>
        <w:gridCol w:w="878"/>
        <w:gridCol w:w="585"/>
        <w:gridCol w:w="878"/>
        <w:gridCol w:w="585"/>
      </w:tblGrid>
      <w:tr w:rsidR="00F50C82" w:rsidRPr="00F50C82" w14:paraId="56F2E9DF" w14:textId="77777777" w:rsidTr="00377DFE">
        <w:trPr>
          <w:trHeight w:val="288"/>
          <w:jc w:val="center"/>
        </w:trPr>
        <w:tc>
          <w:tcPr>
            <w:tcW w:w="11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0612C87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Grupa</w:t>
            </w:r>
          </w:p>
        </w:tc>
        <w:tc>
          <w:tcPr>
            <w:tcW w:w="2108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AF6329A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Wskaźniki</w:t>
            </w:r>
          </w:p>
        </w:tc>
        <w:tc>
          <w:tcPr>
            <w:tcW w:w="567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2000594" w14:textId="5BAADF0E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5E2CB1D" w14:textId="2D32FEC6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8971B43" w14:textId="6AE4D906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7FD9967" w14:textId="4785D7E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202</w:t>
            </w:r>
            <w:r w:rsidR="00F50C82"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7</w:t>
            </w:r>
          </w:p>
        </w:tc>
      </w:tr>
      <w:tr w:rsidR="00F50C82" w:rsidRPr="00F50C82" w14:paraId="16A8815B" w14:textId="77777777" w:rsidTr="00377DFE">
        <w:trPr>
          <w:trHeight w:val="408"/>
          <w:jc w:val="center"/>
        </w:trPr>
        <w:tc>
          <w:tcPr>
            <w:tcW w:w="11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002E7C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top w:val="single" w:sz="8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A81A57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B6861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wart. wskaźnika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743572D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ocena punkt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D746157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wart. wskaźnika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4C73A86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ocena punkt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A1CDA2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wart. wskaźnika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FEA023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ocena punkt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F635E4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wart. wskaźnika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224BE62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ocena punkt</w:t>
            </w:r>
          </w:p>
        </w:tc>
      </w:tr>
      <w:tr w:rsidR="001E312A" w:rsidRPr="001E312A" w14:paraId="3DA793ED" w14:textId="77777777" w:rsidTr="00377DFE">
        <w:trPr>
          <w:trHeight w:val="204"/>
          <w:jc w:val="center"/>
        </w:trPr>
        <w:tc>
          <w:tcPr>
            <w:tcW w:w="1142" w:type="dxa"/>
            <w:vMerge w:val="restart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9774C09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Wskaźniki zyskowności</w:t>
            </w: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0ACD627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1) wskaźnik zyskowności 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1A06AB1" w14:textId="3D9FC7D1" w:rsidR="00DB27A2" w:rsidRPr="000363B5" w:rsidRDefault="000363B5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-2,60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229B794" w14:textId="09E2D09D" w:rsidR="00DB27A2" w:rsidRPr="000363B5" w:rsidRDefault="000363B5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5749A36" w14:textId="20718248" w:rsidR="00DB27A2" w:rsidRPr="000363B5" w:rsidRDefault="006B444D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0,2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8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54CBD3F" w14:textId="58A99B55" w:rsidR="00DB27A2" w:rsidRPr="000363B5" w:rsidRDefault="006B444D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C04D321" w14:textId="615CD8B8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28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0249081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5C84D8C" w14:textId="46479DC4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57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053E5E6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1E312A" w:rsidRPr="001E312A" w14:paraId="401DC8DA" w14:textId="77777777" w:rsidTr="00377DFE">
        <w:trPr>
          <w:trHeight w:val="180"/>
          <w:jc w:val="center"/>
        </w:trPr>
        <w:tc>
          <w:tcPr>
            <w:tcW w:w="1142" w:type="dxa"/>
            <w:vMerge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0E2D01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856499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2) wskaźnik zyskowności działalności operacyjnej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151FF06" w14:textId="35C17797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-3,22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1B142A6" w14:textId="3E2919A9" w:rsidR="00DB27A2" w:rsidRPr="000363B5" w:rsidRDefault="000363B5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856C05B" w14:textId="7621D5A3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1,05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31E4C08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C57BB1B" w14:textId="20F37FF4" w:rsidR="00DB27A2" w:rsidRPr="000363B5" w:rsidRDefault="000166A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9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6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CB1B95F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21650C" w14:textId="2DEBED4D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1,2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12E8129" w14:textId="659E28DA" w:rsidR="00DB27A2" w:rsidRPr="000363B5" w:rsidRDefault="00344029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1E312A" w:rsidRPr="001E312A" w14:paraId="638423D7" w14:textId="77777777" w:rsidTr="00377DFE">
        <w:trPr>
          <w:trHeight w:val="216"/>
          <w:jc w:val="center"/>
        </w:trPr>
        <w:tc>
          <w:tcPr>
            <w:tcW w:w="1142" w:type="dxa"/>
            <w:vMerge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AF2D8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873A30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3) wskaźnik zyskowności aktywów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742732D" w14:textId="5A15AD73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-5,96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B495631" w14:textId="6D4AE143" w:rsidR="00DB27A2" w:rsidRPr="000363B5" w:rsidRDefault="000363B5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77C95A0" w14:textId="5C53A009" w:rsidR="00DB27A2" w:rsidRPr="000363B5" w:rsidRDefault="006B444D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67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18516D6" w14:textId="19ACD976" w:rsidR="00DB27A2" w:rsidRPr="000363B5" w:rsidRDefault="00344029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9C9BF05" w14:textId="4B0F01DE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56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B21441" w14:textId="22B2271E" w:rsidR="00DB27A2" w:rsidRPr="000363B5" w:rsidRDefault="00344029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C00D6D" w14:textId="200173F8" w:rsidR="00DB27A2" w:rsidRPr="000363B5" w:rsidRDefault="00537C91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8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8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7D00CB3" w14:textId="2374E823" w:rsidR="00DB27A2" w:rsidRPr="000363B5" w:rsidRDefault="00344029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1E312A" w:rsidRPr="001E312A" w14:paraId="239B0FA8" w14:textId="77777777" w:rsidTr="00377DFE">
        <w:trPr>
          <w:trHeight w:val="216"/>
          <w:jc w:val="center"/>
        </w:trPr>
        <w:tc>
          <w:tcPr>
            <w:tcW w:w="1142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F5FCFC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B251D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8F9A0EF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B9FBAC8" w14:textId="5379C189" w:rsidR="00DB27A2" w:rsidRPr="000363B5" w:rsidRDefault="000363B5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9CD48D9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3707D88" w14:textId="3DA163DB" w:rsidR="00DB27A2" w:rsidRPr="000363B5" w:rsidRDefault="006B444D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D8C95EF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560CF43" w14:textId="5F68AFE5" w:rsidR="00DB27A2" w:rsidRPr="000363B5" w:rsidRDefault="00344029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DFC043A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83AD21B" w14:textId="5DBBC03D" w:rsidR="00DB27A2" w:rsidRPr="000363B5" w:rsidRDefault="00344029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9</w:t>
            </w:r>
          </w:p>
        </w:tc>
      </w:tr>
      <w:tr w:rsidR="001E312A" w:rsidRPr="001E312A" w14:paraId="2551292F" w14:textId="77777777" w:rsidTr="00377DFE">
        <w:trPr>
          <w:trHeight w:val="204"/>
          <w:jc w:val="center"/>
        </w:trPr>
        <w:tc>
          <w:tcPr>
            <w:tcW w:w="11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EB45C34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Wskaźniki płynności</w:t>
            </w:r>
          </w:p>
        </w:tc>
        <w:tc>
          <w:tcPr>
            <w:tcW w:w="210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841E4E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1) wskaźnik bieżącej płynności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2F71343" w14:textId="0A14CF2E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BAAC4A8" w14:textId="5BD08987" w:rsidR="00DB27A2" w:rsidRPr="000363B5" w:rsidRDefault="000363B5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14760A3" w14:textId="14B148F6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A530D93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F3CC1BA" w14:textId="12E232B8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166AD" w:rsidRPr="000363B5">
              <w:rPr>
                <w:rFonts w:ascii="Times New Roman" w:hAnsi="Times New Roman"/>
                <w:sz w:val="16"/>
                <w:szCs w:val="16"/>
              </w:rPr>
              <w:t>4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8E0EA31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78529AD" w14:textId="684B2AD5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537C91" w:rsidRPr="000363B5">
              <w:rPr>
                <w:rFonts w:ascii="Times New Roman" w:hAnsi="Times New Roman"/>
                <w:sz w:val="16"/>
                <w:szCs w:val="16"/>
              </w:rPr>
              <w:t>4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A9C9D73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1E312A" w:rsidRPr="001E312A" w14:paraId="3B7523EC" w14:textId="77777777" w:rsidTr="00377DFE">
        <w:trPr>
          <w:trHeight w:val="216"/>
          <w:jc w:val="center"/>
        </w:trPr>
        <w:tc>
          <w:tcPr>
            <w:tcW w:w="11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5A5B2D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0CA8F83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2) wskaźnik szybkiej płynności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5F07146" w14:textId="107612ED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0,3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4367EB8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9A82F16" w14:textId="54185813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4233B74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6ACB086" w14:textId="4D0C312D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9FCE74A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641B6DB" w14:textId="566755A1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0,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210D981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1E312A" w:rsidRPr="001E312A" w14:paraId="38D64EF2" w14:textId="77777777" w:rsidTr="00377DFE">
        <w:trPr>
          <w:trHeight w:val="216"/>
          <w:jc w:val="center"/>
        </w:trPr>
        <w:tc>
          <w:tcPr>
            <w:tcW w:w="1142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7EFEA75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02362F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1E5A54D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2038152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B84F47E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6A4471D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748E600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2AC45E6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6024F5C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AB6F36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0</w:t>
            </w:r>
          </w:p>
        </w:tc>
      </w:tr>
      <w:tr w:rsidR="001E312A" w:rsidRPr="001E312A" w14:paraId="39C58FAE" w14:textId="77777777" w:rsidTr="00377DFE">
        <w:trPr>
          <w:trHeight w:val="204"/>
          <w:jc w:val="center"/>
        </w:trPr>
        <w:tc>
          <w:tcPr>
            <w:tcW w:w="11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09F7C1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Wskaźniki efektywności</w:t>
            </w:r>
          </w:p>
        </w:tc>
        <w:tc>
          <w:tcPr>
            <w:tcW w:w="210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67966E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1) wskaźnik rotacji należności     w dniach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E02D647" w14:textId="2989F92E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3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DE30CE1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A71D839" w14:textId="62B7A0D0" w:rsidR="00DB27A2" w:rsidRPr="000363B5" w:rsidRDefault="000363B5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C80DD4B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6B6773D" w14:textId="65654C6C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3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10935B4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95E0C5D" w14:textId="0218BDB1" w:rsidR="00DB27A2" w:rsidRPr="000363B5" w:rsidRDefault="000363B5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80D1AAF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1E312A" w:rsidRPr="001E312A" w14:paraId="060DBA3F" w14:textId="77777777" w:rsidTr="00377DFE">
        <w:trPr>
          <w:trHeight w:val="216"/>
          <w:jc w:val="center"/>
        </w:trPr>
        <w:tc>
          <w:tcPr>
            <w:tcW w:w="11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B25D376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52E3A2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2) wskaźnik rotacji zobowiązań w dniach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789299" w14:textId="1E2D569B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19CE188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A84F241" w14:textId="4AE26C5A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4E64E7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F81E216" w14:textId="1B6A79CC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</w:t>
            </w:r>
            <w:r w:rsidR="000166AD" w:rsidRPr="000363B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4CB3CAF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3E3E57C" w14:textId="6109B48D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8E78CB5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</w:tr>
      <w:tr w:rsidR="001E312A" w:rsidRPr="001E312A" w14:paraId="7D298C7F" w14:textId="77777777" w:rsidTr="00377DFE">
        <w:trPr>
          <w:trHeight w:val="216"/>
          <w:jc w:val="center"/>
        </w:trPr>
        <w:tc>
          <w:tcPr>
            <w:tcW w:w="1142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7AEC918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7657F2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BCACD8F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E3CC61B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C88EDE0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C1A6BCA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CA5EDD0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4A11EB4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423A692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6BA1E4F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10</w:t>
            </w:r>
          </w:p>
        </w:tc>
      </w:tr>
      <w:tr w:rsidR="001E312A" w:rsidRPr="001E312A" w14:paraId="25D3C331" w14:textId="77777777" w:rsidTr="00377DFE">
        <w:trPr>
          <w:trHeight w:val="204"/>
          <w:jc w:val="center"/>
        </w:trPr>
        <w:tc>
          <w:tcPr>
            <w:tcW w:w="11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DFFCF23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Wskaźniki zadłużenia</w:t>
            </w:r>
          </w:p>
        </w:tc>
        <w:tc>
          <w:tcPr>
            <w:tcW w:w="210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9BA33E1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1) wskaźnik zadłużenia aktywów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7650121" w14:textId="4C69F9E2" w:rsidR="00DB27A2" w:rsidRPr="000363B5" w:rsidRDefault="000363B5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6</w:t>
            </w:r>
            <w:r w:rsidR="00B22660">
              <w:rPr>
                <w:rFonts w:ascii="Times New Roman" w:hAnsi="Times New Roman"/>
                <w:sz w:val="16"/>
                <w:szCs w:val="16"/>
              </w:rPr>
              <w:t>6,5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8E8FFEB" w14:textId="22A10984" w:rsidR="00DB27A2" w:rsidRPr="000363B5" w:rsidRDefault="000363B5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DAEA54D" w14:textId="643028A0" w:rsidR="00DB27A2" w:rsidRPr="000363B5" w:rsidRDefault="00DB27A2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5</w:t>
            </w:r>
            <w:r w:rsidR="00E634E1" w:rsidRPr="000363B5">
              <w:rPr>
                <w:rFonts w:ascii="Times New Roman" w:hAnsi="Times New Roman"/>
                <w:sz w:val="16"/>
                <w:szCs w:val="16"/>
              </w:rPr>
              <w:t>9</w:t>
            </w:r>
            <w:r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0084706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8999909" w14:textId="73B61183" w:rsidR="00DB27A2" w:rsidRPr="000363B5" w:rsidRDefault="000363B5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41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7909875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357E18" w14:textId="2B0D0947" w:rsidR="00DB27A2" w:rsidRPr="000363B5" w:rsidRDefault="00537C91" w:rsidP="003C43FA">
            <w:pPr>
              <w:suppressAutoHyphens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3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2</w:t>
            </w:r>
            <w:r w:rsidR="00DB27A2" w:rsidRPr="000363B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C334466" w14:textId="5064EA55" w:rsidR="00DB27A2" w:rsidRPr="000363B5" w:rsidRDefault="00537C91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</w:tr>
      <w:tr w:rsidR="001E312A" w:rsidRPr="001E312A" w14:paraId="7F46F3ED" w14:textId="77777777" w:rsidTr="00377DFE">
        <w:trPr>
          <w:trHeight w:val="216"/>
          <w:jc w:val="center"/>
        </w:trPr>
        <w:tc>
          <w:tcPr>
            <w:tcW w:w="11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7F3E2E0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2538E6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i/>
                <w:sz w:val="16"/>
                <w:szCs w:val="16"/>
              </w:rPr>
              <w:t>2) wskaźnik wypłacalności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A8BF0C0" w14:textId="4D5530BE" w:rsidR="00DB27A2" w:rsidRPr="000363B5" w:rsidRDefault="00DB27A2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</w:t>
            </w:r>
            <w:r w:rsidR="000363B5" w:rsidRPr="000363B5">
              <w:rPr>
                <w:rFonts w:ascii="Times New Roman" w:hAnsi="Times New Roman"/>
                <w:sz w:val="16"/>
                <w:szCs w:val="16"/>
              </w:rPr>
              <w:t>5,80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59FA0AF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7E4367C" w14:textId="78DB145E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-5,66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90B15E1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953229E" w14:textId="5A84AD1B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-6,38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563E4FB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4546C5E" w14:textId="2AD84C6B" w:rsidR="00DB27A2" w:rsidRPr="000363B5" w:rsidRDefault="000363B5" w:rsidP="003C43F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363B5">
              <w:rPr>
                <w:rFonts w:ascii="Times New Roman" w:hAnsi="Times New Roman"/>
                <w:sz w:val="16"/>
                <w:szCs w:val="16"/>
              </w:rPr>
              <w:t>-7,52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5CE1D4C" w14:textId="77777777" w:rsidR="00DB27A2" w:rsidRPr="000363B5" w:rsidRDefault="00DB27A2" w:rsidP="003C43F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363B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1E312A" w:rsidRPr="001E312A" w14:paraId="0DCD7411" w14:textId="77777777" w:rsidTr="00377DFE">
        <w:trPr>
          <w:trHeight w:val="216"/>
          <w:jc w:val="center"/>
        </w:trPr>
        <w:tc>
          <w:tcPr>
            <w:tcW w:w="1142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008CD19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CB1179D" w14:textId="77777777" w:rsidR="00DB27A2" w:rsidRPr="00F50C82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0E3D294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F124ADC" w14:textId="145DA0D5" w:rsidR="00DB27A2" w:rsidRPr="000363B5" w:rsidRDefault="000363B5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CEC49E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659D46A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F36B973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17573E6" w14:textId="77777777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1EC39F6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E787281" w14:textId="719C1EA4" w:rsidR="00DB27A2" w:rsidRPr="000363B5" w:rsidRDefault="00537C91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10</w:t>
            </w:r>
          </w:p>
        </w:tc>
      </w:tr>
      <w:tr w:rsidR="001E312A" w:rsidRPr="001E312A" w14:paraId="23B4C4BD" w14:textId="77777777" w:rsidTr="00377DFE">
        <w:trPr>
          <w:trHeight w:val="300"/>
          <w:jc w:val="center"/>
        </w:trPr>
        <w:tc>
          <w:tcPr>
            <w:tcW w:w="325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DEA624E" w14:textId="77777777" w:rsidR="00DB27A2" w:rsidRPr="00F50C82" w:rsidRDefault="00DB27A2" w:rsidP="003C43F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F50C8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Łączna wartość punktów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3CA11AB" w14:textId="77777777" w:rsidR="00DB27A2" w:rsidRPr="000363B5" w:rsidRDefault="00DB27A2" w:rsidP="003C43FA">
            <w:pPr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A14A3F7" w14:textId="4C26F408" w:rsidR="00DB27A2" w:rsidRPr="000363B5" w:rsidRDefault="000363B5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4E30236" w14:textId="77777777" w:rsidR="00DB27A2" w:rsidRPr="000363B5" w:rsidRDefault="00DB27A2" w:rsidP="003C43FA">
            <w:pPr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3D8B665" w14:textId="26701AE9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</w:t>
            </w:r>
            <w:r w:rsidR="00E634E1"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BDA264B" w14:textId="77777777" w:rsidR="00DB27A2" w:rsidRPr="000363B5" w:rsidRDefault="00DB27A2" w:rsidP="003C43FA">
            <w:pPr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AFBF0C6" w14:textId="3F5BA60D" w:rsidR="00DB27A2" w:rsidRPr="000363B5" w:rsidRDefault="00DB27A2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</w:t>
            </w:r>
            <w:r w:rsidR="00344029"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E50BA7D" w14:textId="77777777" w:rsidR="00DB27A2" w:rsidRPr="000363B5" w:rsidRDefault="00DB27A2" w:rsidP="003C43FA">
            <w:pPr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A0F3018" w14:textId="2268D6B4" w:rsidR="00DB27A2" w:rsidRPr="000363B5" w:rsidRDefault="00344029" w:rsidP="003C43FA">
            <w:pPr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0363B5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29</w:t>
            </w:r>
          </w:p>
        </w:tc>
      </w:tr>
    </w:tbl>
    <w:p w14:paraId="313A1AB0" w14:textId="69C2F88C" w:rsidR="00FC7DF6" w:rsidRPr="00F50C82" w:rsidRDefault="00FC7DF6" w:rsidP="00F16D3E">
      <w:pPr>
        <w:pStyle w:val="Standard"/>
        <w:pageBreakBefore/>
        <w:widowControl/>
        <w:numPr>
          <w:ilvl w:val="0"/>
          <w:numId w:val="22"/>
        </w:numPr>
        <w:spacing w:after="200" w:line="276" w:lineRule="auto"/>
        <w:ind w:left="567" w:hanging="207"/>
        <w:jc w:val="both"/>
      </w:pPr>
      <w:r w:rsidRPr="00F50C82">
        <w:rPr>
          <w:b/>
          <w:i/>
          <w:sz w:val="28"/>
          <w:szCs w:val="28"/>
        </w:rPr>
        <w:lastRenderedPageBreak/>
        <w:t>Najważniejsze aspekty sytuacji ekonomiczno – finansowej Samodzielnego Publicznego Zespołu Zakładów Opieki Zdrowotnej w Wyszkowie w roku bazowym (20</w:t>
      </w:r>
      <w:r w:rsidR="00F456B4" w:rsidRPr="00F50C82">
        <w:rPr>
          <w:b/>
          <w:i/>
          <w:sz w:val="28"/>
          <w:szCs w:val="28"/>
        </w:rPr>
        <w:t>2</w:t>
      </w:r>
      <w:r w:rsidR="00F50C82" w:rsidRPr="00F50C82">
        <w:rPr>
          <w:b/>
          <w:i/>
          <w:sz w:val="28"/>
          <w:szCs w:val="28"/>
        </w:rPr>
        <w:t>4</w:t>
      </w:r>
      <w:r w:rsidRPr="00F50C82">
        <w:rPr>
          <w:b/>
          <w:i/>
          <w:sz w:val="28"/>
          <w:szCs w:val="28"/>
        </w:rPr>
        <w:t>)</w:t>
      </w:r>
    </w:p>
    <w:p w14:paraId="1D1EB046" w14:textId="77777777" w:rsidR="00FC7DF6" w:rsidRPr="00F50C82" w:rsidRDefault="00FC7DF6" w:rsidP="00FC7D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50C82">
        <w:rPr>
          <w:rFonts w:ascii="Times New Roman" w:hAnsi="Times New Roman"/>
          <w:b/>
          <w:sz w:val="24"/>
          <w:szCs w:val="24"/>
        </w:rPr>
        <w:t>II.1. Struktura przychodów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3"/>
        <w:gridCol w:w="1701"/>
        <w:gridCol w:w="1701"/>
      </w:tblGrid>
      <w:tr w:rsidR="001E312A" w:rsidRPr="001E312A" w14:paraId="4F8E174D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3B35" w14:textId="77777777" w:rsidR="00FC7DF6" w:rsidRPr="001204A9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1204A9">
              <w:rPr>
                <w:b/>
                <w:i/>
                <w:sz w:val="22"/>
                <w:szCs w:val="22"/>
              </w:rPr>
              <w:t>Źródło przychodów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288F" w14:textId="77777777" w:rsidR="00FC7DF6" w:rsidRPr="001204A9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1204A9">
              <w:rPr>
                <w:b/>
                <w:i/>
                <w:sz w:val="22"/>
                <w:szCs w:val="22"/>
              </w:rPr>
              <w:t>Kwota w zł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DAA8" w14:textId="1C671AFD" w:rsidR="00FC7DF6" w:rsidRPr="001204A9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1204A9">
              <w:rPr>
                <w:b/>
                <w:i/>
                <w:sz w:val="22"/>
                <w:szCs w:val="22"/>
              </w:rPr>
              <w:t xml:space="preserve">Udział % </w:t>
            </w:r>
            <w:r w:rsidR="00107693" w:rsidRPr="001204A9">
              <w:rPr>
                <w:b/>
                <w:i/>
                <w:sz w:val="22"/>
                <w:szCs w:val="22"/>
              </w:rPr>
              <w:br/>
            </w:r>
            <w:r w:rsidRPr="001204A9">
              <w:rPr>
                <w:b/>
                <w:i/>
                <w:sz w:val="22"/>
                <w:szCs w:val="22"/>
              </w:rPr>
              <w:t>w przychodach</w:t>
            </w:r>
          </w:p>
        </w:tc>
      </w:tr>
      <w:tr w:rsidR="001E312A" w:rsidRPr="001E312A" w14:paraId="1AA387F3" w14:textId="77777777" w:rsidTr="00D821A3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CEA0" w14:textId="69E9D890" w:rsidR="00FC7DF6" w:rsidRPr="001204A9" w:rsidRDefault="00FC7DF6" w:rsidP="00F16D3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</w:pPr>
            <w:r w:rsidRPr="001204A9">
              <w:rPr>
                <w:rFonts w:ascii="Times New Roman" w:hAnsi="Times New Roman"/>
                <w:b/>
              </w:rPr>
              <w:t xml:space="preserve">Świadczenia opieki zdrowotnej finansowane ze środków publicznych – umowa </w:t>
            </w:r>
            <w:r w:rsidRPr="001204A9">
              <w:rPr>
                <w:rFonts w:ascii="Times New Roman" w:hAnsi="Times New Roman"/>
                <w:b/>
              </w:rPr>
              <w:br/>
              <w:t xml:space="preserve">z NFZ: </w:t>
            </w:r>
            <w:r w:rsidR="001204A9" w:rsidRPr="001204A9">
              <w:rPr>
                <w:rFonts w:ascii="Times New Roman" w:hAnsi="Times New Roman"/>
                <w:b/>
              </w:rPr>
              <w:t>112 699 695,70</w:t>
            </w:r>
            <w:r w:rsidRPr="001204A9">
              <w:rPr>
                <w:rFonts w:ascii="Times New Roman" w:hAnsi="Times New Roman"/>
                <w:b/>
              </w:rPr>
              <w:t xml:space="preserve"> zł (</w:t>
            </w:r>
            <w:r w:rsidR="001204A9" w:rsidRPr="001204A9">
              <w:rPr>
                <w:rFonts w:ascii="Times New Roman" w:hAnsi="Times New Roman"/>
                <w:b/>
              </w:rPr>
              <w:t>84,58</w:t>
            </w:r>
            <w:r w:rsidRPr="001204A9">
              <w:rPr>
                <w:rFonts w:ascii="Times New Roman" w:hAnsi="Times New Roman"/>
                <w:b/>
              </w:rPr>
              <w:t xml:space="preserve"> %)</w:t>
            </w:r>
          </w:p>
        </w:tc>
      </w:tr>
      <w:tr w:rsidR="001E312A" w:rsidRPr="001E312A" w14:paraId="5A7680D3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351F" w14:textId="77777777" w:rsidR="00FC7DF6" w:rsidRPr="001204A9" w:rsidRDefault="00FC7DF6" w:rsidP="00D821A3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Leczenie szpitalne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9073" w14:textId="08807E37" w:rsidR="00FC7DF6" w:rsidRPr="001204A9" w:rsidRDefault="001204A9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90 833 850,85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495F" w14:textId="33AF912F" w:rsidR="00FC7DF6" w:rsidRPr="00AB0339" w:rsidRDefault="00AB0339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68,17</w:t>
            </w:r>
            <w:r w:rsidR="00FC7DF6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68E46BB8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A24" w14:textId="14E8339A" w:rsidR="0018744A" w:rsidRPr="001204A9" w:rsidRDefault="0018744A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Ambulatoryjna opieka specjalistyczna (kosztochłonne)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E2F" w14:textId="0574FD41" w:rsidR="0018744A" w:rsidRPr="001204A9" w:rsidRDefault="001204A9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1 317 908,04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B960" w14:textId="500466A3" w:rsidR="0018744A" w:rsidRPr="00AB0339" w:rsidRDefault="00AB0339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0,99</w:t>
            </w:r>
            <w:r w:rsidR="00D62A4F" w:rsidRPr="00AB0339">
              <w:rPr>
                <w:i/>
                <w:iCs/>
                <w:sz w:val="22"/>
                <w:szCs w:val="22"/>
              </w:rPr>
              <w:t xml:space="preserve"> </w:t>
            </w:r>
            <w:r w:rsidR="00C90800" w:rsidRPr="00AB0339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1E312A" w:rsidRPr="001E312A" w14:paraId="1180888E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0B27" w14:textId="77777777" w:rsidR="0018744A" w:rsidRPr="001204A9" w:rsidRDefault="0018744A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Ambulatoryjna opieka specjalistyczna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8B3F" w14:textId="0A7F43FD" w:rsidR="0018744A" w:rsidRPr="001204A9" w:rsidRDefault="001204A9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12 580 131,35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AC93" w14:textId="229391BD" w:rsidR="0018744A" w:rsidRPr="00AB0339" w:rsidRDefault="00AB0339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9,44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20D6F3CD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5A86" w14:textId="77777777" w:rsidR="0018744A" w:rsidRPr="001204A9" w:rsidRDefault="0018744A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Rehabilitacja lecznicza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D3B" w14:textId="6DD5305E" w:rsidR="0018744A" w:rsidRPr="001204A9" w:rsidRDefault="001204A9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2 346 500,50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FCE7" w14:textId="1FC005F9" w:rsidR="0018744A" w:rsidRPr="00AB0339" w:rsidRDefault="00AB0339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1,76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77CE3C7B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B6B1" w14:textId="77777777" w:rsidR="0018744A" w:rsidRPr="001204A9" w:rsidRDefault="0018744A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Opieka psychiatryczna i leczenie uzależnień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9F7C" w14:textId="642FDA80" w:rsidR="0018744A" w:rsidRPr="001204A9" w:rsidRDefault="001204A9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1 132 744,46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333" w14:textId="073340CA" w:rsidR="0018744A" w:rsidRPr="00AB0339" w:rsidRDefault="008B0323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</w:t>
            </w:r>
            <w:r w:rsidR="00AB0339" w:rsidRPr="00AB0339">
              <w:rPr>
                <w:i/>
                <w:iCs/>
                <w:sz w:val="22"/>
                <w:szCs w:val="22"/>
              </w:rPr>
              <w:t>85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75DD0862" w14:textId="77777777" w:rsidTr="00107693">
        <w:trPr>
          <w:trHeight w:val="467"/>
        </w:trPr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3C89" w14:textId="47B115A1" w:rsidR="0018744A" w:rsidRPr="001204A9" w:rsidRDefault="00FC27D3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Świadczenia nocnej i świątecznej opieki zdrowotnej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255E" w14:textId="4FD9EE47" w:rsidR="0018744A" w:rsidRPr="001204A9" w:rsidRDefault="00FC27D3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 xml:space="preserve"> </w:t>
            </w:r>
            <w:r w:rsidR="001204A9" w:rsidRPr="001204A9">
              <w:rPr>
                <w:sz w:val="22"/>
                <w:szCs w:val="22"/>
              </w:rPr>
              <w:t>4 066 135,20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5991" w14:textId="6C985918" w:rsidR="0018744A" w:rsidRPr="00AB0339" w:rsidRDefault="00D62A4F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3,</w:t>
            </w:r>
            <w:r w:rsidR="00AB0339" w:rsidRPr="00AB0339">
              <w:rPr>
                <w:i/>
                <w:iCs/>
                <w:sz w:val="22"/>
                <w:szCs w:val="22"/>
              </w:rPr>
              <w:t>05</w:t>
            </w:r>
            <w:r w:rsidRPr="00AB0339">
              <w:rPr>
                <w:i/>
                <w:iCs/>
                <w:sz w:val="22"/>
                <w:szCs w:val="22"/>
              </w:rPr>
              <w:t xml:space="preserve"> </w:t>
            </w:r>
            <w:r w:rsidR="0018744A" w:rsidRPr="00AB0339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1E312A" w:rsidRPr="001E312A" w14:paraId="469397C0" w14:textId="77777777" w:rsidTr="00107693">
        <w:trPr>
          <w:trHeight w:val="234"/>
        </w:trPr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1B07" w14:textId="365B9BEB" w:rsidR="0018744A" w:rsidRPr="001204A9" w:rsidRDefault="00FC27D3" w:rsidP="0018744A">
            <w:pPr>
              <w:pStyle w:val="Standard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Pozostałe świadczenia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C532" w14:textId="002E5ABF" w:rsidR="0018744A" w:rsidRPr="001204A9" w:rsidRDefault="001204A9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1204A9">
              <w:rPr>
                <w:sz w:val="22"/>
                <w:szCs w:val="22"/>
              </w:rPr>
              <w:t>422 425,30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C6FC" w14:textId="074614A9" w:rsidR="0018744A" w:rsidRPr="00AB0339" w:rsidRDefault="008B0323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0,3</w:t>
            </w:r>
            <w:r w:rsidR="00AB0339" w:rsidRPr="00AB0339">
              <w:rPr>
                <w:i/>
                <w:iCs/>
                <w:sz w:val="22"/>
                <w:szCs w:val="22"/>
              </w:rPr>
              <w:t>2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49933553" w14:textId="77777777" w:rsidTr="00D821A3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E370" w14:textId="0C66F6DC" w:rsidR="0018744A" w:rsidRPr="00AB0339" w:rsidRDefault="0018744A" w:rsidP="0018744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26" w:hanging="437"/>
            </w:pPr>
            <w:r w:rsidRPr="00AB0339">
              <w:rPr>
                <w:rFonts w:ascii="Times New Roman" w:hAnsi="Times New Roman"/>
                <w:b/>
              </w:rPr>
              <w:t xml:space="preserve">Usługi medyczne komercyjne: </w:t>
            </w:r>
            <w:r w:rsidR="00492FAF" w:rsidRPr="00AB0339">
              <w:rPr>
                <w:rFonts w:ascii="Times New Roman" w:hAnsi="Times New Roman"/>
                <w:b/>
              </w:rPr>
              <w:t>2</w:t>
            </w:r>
            <w:r w:rsidR="004271D0" w:rsidRPr="00AB0339">
              <w:rPr>
                <w:rFonts w:ascii="Times New Roman" w:hAnsi="Times New Roman"/>
                <w:b/>
              </w:rPr>
              <w:t> 785 474,82</w:t>
            </w:r>
            <w:r w:rsidRPr="00AB0339">
              <w:rPr>
                <w:rFonts w:ascii="Times New Roman" w:hAnsi="Times New Roman"/>
                <w:b/>
              </w:rPr>
              <w:t xml:space="preserve"> zł (2,</w:t>
            </w:r>
            <w:r w:rsidR="004271D0" w:rsidRPr="00AB0339">
              <w:rPr>
                <w:rFonts w:ascii="Times New Roman" w:hAnsi="Times New Roman"/>
                <w:b/>
              </w:rPr>
              <w:t>09</w:t>
            </w:r>
            <w:r w:rsidRPr="00AB0339">
              <w:rPr>
                <w:rFonts w:ascii="Times New Roman" w:hAnsi="Times New Roman"/>
                <w:b/>
              </w:rPr>
              <w:t xml:space="preserve"> %)</w:t>
            </w:r>
          </w:p>
        </w:tc>
      </w:tr>
      <w:tr w:rsidR="001E312A" w:rsidRPr="001E312A" w14:paraId="1EC23538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91E3" w14:textId="77777777" w:rsidR="0018744A" w:rsidRPr="004271D0" w:rsidRDefault="0018744A" w:rsidP="0018744A">
            <w:pPr>
              <w:pStyle w:val="Standard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Badania diagnostyczne i laboratoryjne dla innych podmiotów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780C" w14:textId="62CEB549" w:rsidR="0018744A" w:rsidRPr="004271D0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894 148,95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423F" w14:textId="69B4AAE4" w:rsidR="0018744A" w:rsidRPr="00AB0339" w:rsidRDefault="00F92EF1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</w:t>
            </w:r>
            <w:r w:rsidR="00D922B5" w:rsidRPr="00AB0339">
              <w:rPr>
                <w:i/>
                <w:iCs/>
                <w:sz w:val="22"/>
                <w:szCs w:val="22"/>
              </w:rPr>
              <w:t>67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6EC71B2A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6004" w14:textId="77777777" w:rsidR="0018744A" w:rsidRPr="004271D0" w:rsidRDefault="0018744A" w:rsidP="0018744A">
            <w:pPr>
              <w:pStyle w:val="Standard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Medycyna pracy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358C" w14:textId="113A55F6" w:rsidR="0018744A" w:rsidRPr="004271D0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404 396,50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0942" w14:textId="34A83FF3" w:rsidR="0018744A" w:rsidRPr="00AB0339" w:rsidRDefault="00F92EF1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</w:t>
            </w:r>
            <w:r w:rsidR="00AB0339" w:rsidRPr="00AB0339">
              <w:rPr>
                <w:i/>
                <w:iCs/>
                <w:sz w:val="22"/>
                <w:szCs w:val="22"/>
              </w:rPr>
              <w:t>30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5607874A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1391" w14:textId="4B5C7FF2" w:rsidR="0018744A" w:rsidRPr="004271D0" w:rsidRDefault="0018744A" w:rsidP="0018744A">
            <w:pPr>
              <w:pStyle w:val="Standard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Pozostałe usługi medyczne odpłatne i komercyjne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7E82" w14:textId="041D1A77" w:rsidR="0018744A" w:rsidRPr="004271D0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1 486 929,37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4374" w14:textId="596C956F" w:rsidR="0018744A" w:rsidRPr="00AB0339" w:rsidRDefault="00F92EF1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1,</w:t>
            </w:r>
            <w:r w:rsidR="00D922B5" w:rsidRPr="00AB0339">
              <w:rPr>
                <w:i/>
                <w:iCs/>
                <w:sz w:val="22"/>
                <w:szCs w:val="22"/>
              </w:rPr>
              <w:t>1</w:t>
            </w:r>
            <w:r w:rsidR="00AB0339" w:rsidRPr="00AB0339">
              <w:rPr>
                <w:i/>
                <w:iCs/>
                <w:sz w:val="22"/>
                <w:szCs w:val="22"/>
              </w:rPr>
              <w:t>2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56A6BC01" w14:textId="77777777" w:rsidTr="00D821A3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0D07" w14:textId="1B84334C" w:rsidR="0018744A" w:rsidRPr="00AB0339" w:rsidRDefault="0018744A" w:rsidP="0018744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26" w:hanging="426"/>
            </w:pPr>
            <w:r w:rsidRPr="00AB0339">
              <w:rPr>
                <w:rFonts w:ascii="Times New Roman" w:hAnsi="Times New Roman"/>
                <w:b/>
              </w:rPr>
              <w:t xml:space="preserve">Przychody z dzierżawy i najmu: </w:t>
            </w:r>
            <w:r w:rsidR="004271D0" w:rsidRPr="00AB0339">
              <w:rPr>
                <w:rFonts w:ascii="Times New Roman" w:hAnsi="Times New Roman"/>
                <w:b/>
              </w:rPr>
              <w:t>601 937,90</w:t>
            </w:r>
            <w:r w:rsidRPr="00AB0339">
              <w:rPr>
                <w:rFonts w:ascii="Times New Roman" w:hAnsi="Times New Roman"/>
                <w:b/>
              </w:rPr>
              <w:t xml:space="preserve"> zł (0,</w:t>
            </w:r>
            <w:r w:rsidR="00492FAF" w:rsidRPr="00AB0339">
              <w:rPr>
                <w:rFonts w:ascii="Times New Roman" w:hAnsi="Times New Roman"/>
                <w:b/>
              </w:rPr>
              <w:t>4</w:t>
            </w:r>
            <w:r w:rsidR="004271D0" w:rsidRPr="00AB0339">
              <w:rPr>
                <w:rFonts w:ascii="Times New Roman" w:hAnsi="Times New Roman"/>
                <w:b/>
              </w:rPr>
              <w:t>5</w:t>
            </w:r>
            <w:r w:rsidRPr="00AB0339">
              <w:rPr>
                <w:rFonts w:ascii="Times New Roman" w:hAnsi="Times New Roman"/>
                <w:b/>
              </w:rPr>
              <w:t xml:space="preserve"> %)</w:t>
            </w:r>
          </w:p>
        </w:tc>
      </w:tr>
      <w:tr w:rsidR="001E312A" w:rsidRPr="001E312A" w14:paraId="1D0A8ADE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52F2" w14:textId="77777777" w:rsidR="0018744A" w:rsidRPr="004271D0" w:rsidRDefault="0018744A" w:rsidP="0018744A">
            <w:pPr>
              <w:pStyle w:val="Standard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Najem lokali użytkowych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ECEC" w14:textId="7E08CCC0" w:rsidR="0018744A" w:rsidRPr="004271D0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4271D0">
              <w:rPr>
                <w:sz w:val="22"/>
                <w:szCs w:val="22"/>
              </w:rPr>
              <w:t>601 937,90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FFDE" w14:textId="4B9016EB" w:rsidR="0018744A" w:rsidRPr="00AB0339" w:rsidRDefault="0018744A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0,</w:t>
            </w:r>
            <w:r w:rsidR="00D62A4F" w:rsidRPr="00AB0339">
              <w:rPr>
                <w:i/>
                <w:iCs/>
                <w:sz w:val="22"/>
                <w:szCs w:val="22"/>
              </w:rPr>
              <w:t>4</w:t>
            </w:r>
            <w:r w:rsidR="004271D0" w:rsidRPr="00AB0339">
              <w:rPr>
                <w:i/>
                <w:iCs/>
                <w:sz w:val="22"/>
                <w:szCs w:val="22"/>
              </w:rPr>
              <w:t>5</w:t>
            </w:r>
            <w:r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5ADF36B9" w14:textId="77777777" w:rsidTr="00D821A3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285D" w14:textId="1A8729F6" w:rsidR="0018744A" w:rsidRPr="00AB0339" w:rsidRDefault="0018744A" w:rsidP="0018744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26" w:hanging="426"/>
            </w:pPr>
            <w:r w:rsidRPr="00AB0339">
              <w:rPr>
                <w:rFonts w:ascii="Times New Roman" w:hAnsi="Times New Roman"/>
                <w:b/>
              </w:rPr>
              <w:t xml:space="preserve">Pozostałe przychody: </w:t>
            </w:r>
            <w:r w:rsidR="003F542A" w:rsidRPr="00AB0339">
              <w:rPr>
                <w:rFonts w:ascii="Times New Roman" w:hAnsi="Times New Roman"/>
                <w:b/>
              </w:rPr>
              <w:t>17 166 219,96</w:t>
            </w:r>
            <w:r w:rsidRPr="00AB0339">
              <w:rPr>
                <w:rFonts w:ascii="Times New Roman" w:hAnsi="Times New Roman"/>
                <w:b/>
              </w:rPr>
              <w:t xml:space="preserve"> zł (</w:t>
            </w:r>
            <w:r w:rsidR="003F542A" w:rsidRPr="00AB0339">
              <w:rPr>
                <w:rFonts w:ascii="Times New Roman" w:hAnsi="Times New Roman"/>
                <w:b/>
              </w:rPr>
              <w:t>12,88</w:t>
            </w:r>
            <w:r w:rsidRPr="00AB0339">
              <w:rPr>
                <w:rFonts w:ascii="Times New Roman" w:hAnsi="Times New Roman"/>
                <w:b/>
              </w:rPr>
              <w:t xml:space="preserve"> %)</w:t>
            </w:r>
          </w:p>
        </w:tc>
      </w:tr>
      <w:tr w:rsidR="001E312A" w:rsidRPr="001E312A" w14:paraId="62EF4CED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473A" w14:textId="77777777" w:rsidR="0018744A" w:rsidRPr="003F542A" w:rsidRDefault="0018744A" w:rsidP="0018744A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Rezydentury i staże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44C0" w14:textId="3BB90B4D" w:rsidR="0018744A" w:rsidRPr="003F542A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4 158 778,57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5AEF" w14:textId="3B991B6F" w:rsidR="0018744A" w:rsidRPr="00AB0339" w:rsidRDefault="00AB0339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3,12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1E56B000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1297" w14:textId="1B4D97BA" w:rsidR="0018744A" w:rsidRPr="003F542A" w:rsidRDefault="0018744A" w:rsidP="0018744A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 xml:space="preserve">Równowartość odpisów amortyzacyjnych </w:t>
            </w:r>
            <w:r w:rsidR="00F33A85">
              <w:rPr>
                <w:sz w:val="22"/>
                <w:szCs w:val="22"/>
              </w:rPr>
              <w:t>otrzymanego</w:t>
            </w:r>
            <w:r w:rsidRPr="003F542A">
              <w:rPr>
                <w:sz w:val="22"/>
                <w:szCs w:val="22"/>
              </w:rPr>
              <w:t xml:space="preserve"> majątku trwałego lub sfinansowanego dotacją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F350" w14:textId="244B4943" w:rsidR="0018744A" w:rsidRPr="003F542A" w:rsidRDefault="004271D0" w:rsidP="0018744A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3 741 292,74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1056" w14:textId="7B85D585" w:rsidR="0018744A" w:rsidRPr="00AB0339" w:rsidRDefault="00D62A4F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2,</w:t>
            </w:r>
            <w:r w:rsidR="00AB0339" w:rsidRPr="00AB0339">
              <w:rPr>
                <w:i/>
                <w:iCs/>
                <w:sz w:val="22"/>
                <w:szCs w:val="22"/>
              </w:rPr>
              <w:t>81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6DABD9BD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B408" w14:textId="77777777" w:rsidR="0018744A" w:rsidRPr="003F542A" w:rsidRDefault="0018744A" w:rsidP="0018744A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Pozostałe przychody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9468" w14:textId="03E82BB8" w:rsidR="0018744A" w:rsidRPr="003F542A" w:rsidRDefault="003F542A" w:rsidP="0018744A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9 266 148,65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6393" w14:textId="121C69FA" w:rsidR="0018744A" w:rsidRPr="00AB0339" w:rsidRDefault="00AB0339" w:rsidP="0018744A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AB0339">
              <w:rPr>
                <w:i/>
                <w:iCs/>
                <w:sz w:val="22"/>
                <w:szCs w:val="22"/>
              </w:rPr>
              <w:t>6,95</w:t>
            </w:r>
            <w:r w:rsidR="0018744A" w:rsidRPr="00AB033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1E312A" w:rsidRPr="001E312A" w14:paraId="2581526C" w14:textId="77777777" w:rsidTr="00107693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119B" w14:textId="77777777" w:rsidR="0018744A" w:rsidRPr="003F542A" w:rsidRDefault="0018744A" w:rsidP="0018744A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b/>
                <w:sz w:val="22"/>
                <w:szCs w:val="22"/>
              </w:rPr>
              <w:t>RAZEM PRZYCHODY: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6183" w14:textId="3C0E5537" w:rsidR="0018744A" w:rsidRPr="003F542A" w:rsidRDefault="001204A9" w:rsidP="0018744A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3F542A">
              <w:rPr>
                <w:b/>
                <w:bCs/>
                <w:sz w:val="22"/>
                <w:szCs w:val="22"/>
              </w:rPr>
              <w:t>133 253 328,38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E8AF" w14:textId="7999CFB8" w:rsidR="0018744A" w:rsidRPr="001E312A" w:rsidRDefault="0018744A" w:rsidP="0018744A">
            <w:pPr>
              <w:pStyle w:val="Standard"/>
              <w:jc w:val="right"/>
              <w:rPr>
                <w:color w:val="FF0000"/>
                <w:sz w:val="22"/>
                <w:szCs w:val="22"/>
              </w:rPr>
            </w:pPr>
            <w:r w:rsidRPr="003F542A">
              <w:rPr>
                <w:b/>
                <w:bCs/>
                <w:i/>
                <w:iCs/>
                <w:sz w:val="22"/>
                <w:szCs w:val="22"/>
              </w:rPr>
              <w:t>100 %</w:t>
            </w:r>
          </w:p>
        </w:tc>
      </w:tr>
    </w:tbl>
    <w:p w14:paraId="6D43D2B2" w14:textId="77777777" w:rsidR="00FC7DF6" w:rsidRPr="001E312A" w:rsidRDefault="00FC7DF6" w:rsidP="00FC7DF6">
      <w:pPr>
        <w:pStyle w:val="Standard"/>
        <w:rPr>
          <w:color w:val="FF0000"/>
        </w:rPr>
      </w:pPr>
    </w:p>
    <w:p w14:paraId="5DF6F238" w14:textId="40E68B99" w:rsidR="00FC7DF6" w:rsidRPr="00AB0339" w:rsidRDefault="00FC7DF6" w:rsidP="00FC7DF6">
      <w:pPr>
        <w:pStyle w:val="Standard"/>
        <w:spacing w:line="360" w:lineRule="auto"/>
        <w:jc w:val="both"/>
      </w:pPr>
      <w:r w:rsidRPr="00AB0339">
        <w:t xml:space="preserve">Przychody jednostki związane z realizacją świadczeń opieki zdrowotnej finansowanych </w:t>
      </w:r>
      <w:r w:rsidR="00551420" w:rsidRPr="00AB0339">
        <w:br/>
      </w:r>
      <w:r w:rsidRPr="00AB0339">
        <w:t xml:space="preserve">ze środków publicznych stanowią </w:t>
      </w:r>
      <w:r w:rsidR="003F542A" w:rsidRPr="00AB0339">
        <w:t>84,58</w:t>
      </w:r>
      <w:r w:rsidR="0058375D" w:rsidRPr="00AB0339">
        <w:t xml:space="preserve"> </w:t>
      </w:r>
      <w:r w:rsidRPr="00AB0339">
        <w:t>% przychodów</w:t>
      </w:r>
      <w:r w:rsidR="00AB0339">
        <w:t xml:space="preserve"> ogółem</w:t>
      </w:r>
      <w:r w:rsidRPr="00AB0339">
        <w:t xml:space="preserve"> (umowy na wykonywanie świadczeń opieki zdrowotnej finansowanych ze środków publicznych z </w:t>
      </w:r>
      <w:r w:rsidRPr="00AB0339">
        <w:rPr>
          <w:bCs/>
        </w:rPr>
        <w:t>Narodowym Funduszem Zdrowia). Pozostałe przychody jednostki</w:t>
      </w:r>
      <w:r w:rsidRPr="00AB0339">
        <w:t xml:space="preserve"> </w:t>
      </w:r>
      <w:r w:rsidR="00AB0339">
        <w:t xml:space="preserve">dotyczące otrzymanych dotacji na staże </w:t>
      </w:r>
      <w:r w:rsidR="00AB0339">
        <w:br/>
        <w:t xml:space="preserve">i rezydentury, odpisów amortyzacyjnych stanowią </w:t>
      </w:r>
      <w:r w:rsidR="00AB0339" w:rsidRPr="00AB0339">
        <w:t>12,88 % przychodów ogółem</w:t>
      </w:r>
      <w:r w:rsidR="00AB0339">
        <w:t>.</w:t>
      </w:r>
      <w:r w:rsidR="00AB0339" w:rsidRPr="00AB0339">
        <w:t xml:space="preserve"> </w:t>
      </w:r>
      <w:r w:rsidR="00AB0339">
        <w:t>P</w:t>
      </w:r>
      <w:r w:rsidR="00AB0339" w:rsidRPr="00AB0339">
        <w:t xml:space="preserve">rzychody </w:t>
      </w:r>
      <w:r w:rsidR="0058375D" w:rsidRPr="00AB0339">
        <w:t>d</w:t>
      </w:r>
      <w:r w:rsidRPr="00AB0339">
        <w:t>otyczą</w:t>
      </w:r>
      <w:r w:rsidR="00AB0339" w:rsidRPr="00AB0339">
        <w:t>ce</w:t>
      </w:r>
      <w:r w:rsidRPr="00AB0339">
        <w:t xml:space="preserve"> świadczenia innych usług leczniczych</w:t>
      </w:r>
      <w:r w:rsidR="00AB0339" w:rsidRPr="00AB0339">
        <w:t xml:space="preserve"> </w:t>
      </w:r>
      <w:r w:rsidRPr="00AB0339">
        <w:t>i medycznych</w:t>
      </w:r>
      <w:r w:rsidR="00E74D11">
        <w:t xml:space="preserve"> stanowią</w:t>
      </w:r>
      <w:r w:rsidRPr="00AB0339">
        <w:t xml:space="preserve"> </w:t>
      </w:r>
      <w:r w:rsidR="00B6038D" w:rsidRPr="00AB0339">
        <w:t>2,</w:t>
      </w:r>
      <w:r w:rsidR="00AB0339" w:rsidRPr="00AB0339">
        <w:t>09</w:t>
      </w:r>
      <w:r w:rsidRPr="00AB0339">
        <w:t xml:space="preserve"> % przychodów ogółem</w:t>
      </w:r>
      <w:r w:rsidR="00E74D11">
        <w:t xml:space="preserve"> </w:t>
      </w:r>
      <w:r w:rsidRPr="00AB0339">
        <w:t xml:space="preserve">oraz najmu </w:t>
      </w:r>
      <w:r w:rsidR="000311D8" w:rsidRPr="00AB0339">
        <w:t>lokali użytkowych</w:t>
      </w:r>
      <w:r w:rsidRPr="00AB0339">
        <w:t xml:space="preserve"> poniżej 1 %.</w:t>
      </w:r>
    </w:p>
    <w:p w14:paraId="65B73C69" w14:textId="37F3D96A" w:rsidR="00FC7DF6" w:rsidRPr="00AB0339" w:rsidRDefault="003D004D" w:rsidP="005F4E9E">
      <w:pPr>
        <w:widowControl/>
        <w:suppressAutoHyphens w:val="0"/>
        <w:spacing w:line="360" w:lineRule="auto"/>
        <w:jc w:val="both"/>
        <w:textAlignment w:val="auto"/>
      </w:pPr>
      <w:r w:rsidRPr="00AB0339">
        <w:rPr>
          <w:rFonts w:ascii="Times New Roman" w:hAnsi="Times New Roman"/>
          <w:sz w:val="24"/>
          <w:szCs w:val="24"/>
        </w:rPr>
        <w:t>Ś</w:t>
      </w:r>
      <w:r w:rsidR="00FC7DF6" w:rsidRPr="00AB0339">
        <w:rPr>
          <w:rFonts w:ascii="Times New Roman" w:hAnsi="Times New Roman"/>
          <w:sz w:val="24"/>
          <w:szCs w:val="24"/>
        </w:rPr>
        <w:t>wiadcze</w:t>
      </w:r>
      <w:r w:rsidRPr="00AB0339">
        <w:rPr>
          <w:rFonts w:ascii="Times New Roman" w:hAnsi="Times New Roman"/>
          <w:sz w:val="24"/>
          <w:szCs w:val="24"/>
        </w:rPr>
        <w:t>nia realizowane</w:t>
      </w:r>
      <w:r w:rsidR="00FC7DF6" w:rsidRPr="00AB0339">
        <w:rPr>
          <w:rFonts w:ascii="Times New Roman" w:hAnsi="Times New Roman"/>
          <w:sz w:val="24"/>
          <w:szCs w:val="24"/>
        </w:rPr>
        <w:t xml:space="preserve"> w zakresie leczenia szpitalnego</w:t>
      </w:r>
      <w:r w:rsidRPr="00AB0339">
        <w:rPr>
          <w:rFonts w:ascii="Times New Roman" w:hAnsi="Times New Roman"/>
          <w:sz w:val="24"/>
          <w:szCs w:val="24"/>
        </w:rPr>
        <w:t xml:space="preserve"> </w:t>
      </w:r>
      <w:r w:rsidR="00FC7DF6" w:rsidRPr="00AB0339">
        <w:rPr>
          <w:rFonts w:ascii="Times New Roman" w:hAnsi="Times New Roman"/>
          <w:sz w:val="24"/>
          <w:szCs w:val="24"/>
        </w:rPr>
        <w:t>objęt</w:t>
      </w:r>
      <w:r w:rsidRPr="00AB0339">
        <w:rPr>
          <w:rFonts w:ascii="Times New Roman" w:hAnsi="Times New Roman"/>
          <w:sz w:val="24"/>
          <w:szCs w:val="24"/>
        </w:rPr>
        <w:t>e</w:t>
      </w:r>
      <w:r w:rsidR="00FC7DF6" w:rsidRPr="00AB0339">
        <w:rPr>
          <w:rFonts w:ascii="Times New Roman" w:hAnsi="Times New Roman"/>
          <w:sz w:val="24"/>
          <w:szCs w:val="24"/>
        </w:rPr>
        <w:t xml:space="preserve"> </w:t>
      </w:r>
      <w:r w:rsidR="00FC7DF6" w:rsidRPr="00AB0339">
        <w:rPr>
          <w:rFonts w:ascii="Times New Roman" w:hAnsi="Times New Roman"/>
          <w:bCs/>
          <w:sz w:val="24"/>
          <w:szCs w:val="24"/>
        </w:rPr>
        <w:t>finansowaniem ryczałtowym</w:t>
      </w:r>
      <w:r w:rsidR="00FC7DF6" w:rsidRPr="00AB0339">
        <w:rPr>
          <w:rFonts w:ascii="Times New Roman" w:hAnsi="Times New Roman"/>
          <w:b/>
          <w:sz w:val="24"/>
          <w:szCs w:val="24"/>
        </w:rPr>
        <w:t xml:space="preserve"> </w:t>
      </w:r>
      <w:r w:rsidR="00FC7DF6" w:rsidRPr="00AB0339">
        <w:rPr>
          <w:rFonts w:ascii="Times New Roman" w:hAnsi="Times New Roman"/>
          <w:bCs/>
          <w:sz w:val="24"/>
          <w:szCs w:val="24"/>
        </w:rPr>
        <w:t>stanowią</w:t>
      </w:r>
      <w:r w:rsidR="00FC7DF6" w:rsidRPr="00AB0339">
        <w:rPr>
          <w:rFonts w:ascii="Times New Roman" w:hAnsi="Times New Roman"/>
          <w:b/>
          <w:sz w:val="24"/>
          <w:szCs w:val="24"/>
        </w:rPr>
        <w:t xml:space="preserve"> </w:t>
      </w:r>
      <w:r w:rsidR="00167606" w:rsidRPr="00AB0339">
        <w:rPr>
          <w:rFonts w:ascii="Times New Roman" w:hAnsi="Times New Roman"/>
          <w:bCs/>
          <w:sz w:val="24"/>
          <w:szCs w:val="24"/>
        </w:rPr>
        <w:t>54,</w:t>
      </w:r>
      <w:r w:rsidR="00AB0339" w:rsidRPr="00AB0339">
        <w:rPr>
          <w:rFonts w:ascii="Times New Roman" w:hAnsi="Times New Roman"/>
          <w:bCs/>
          <w:sz w:val="24"/>
          <w:szCs w:val="24"/>
        </w:rPr>
        <w:t>75</w:t>
      </w:r>
      <w:r w:rsidR="00FC7DF6" w:rsidRPr="00AB0339">
        <w:rPr>
          <w:rFonts w:ascii="Times New Roman" w:hAnsi="Times New Roman"/>
          <w:bCs/>
          <w:sz w:val="24"/>
          <w:szCs w:val="24"/>
        </w:rPr>
        <w:t xml:space="preserve"> % przychodu z NFZ i </w:t>
      </w:r>
      <w:r w:rsidR="00AB0339" w:rsidRPr="00AB0339">
        <w:rPr>
          <w:rFonts w:ascii="Times New Roman" w:hAnsi="Times New Roman"/>
          <w:bCs/>
          <w:sz w:val="24"/>
          <w:szCs w:val="24"/>
        </w:rPr>
        <w:t>46,31</w:t>
      </w:r>
      <w:r w:rsidR="00FC7DF6" w:rsidRPr="00AB0339">
        <w:rPr>
          <w:rFonts w:ascii="Times New Roman" w:hAnsi="Times New Roman"/>
          <w:bCs/>
          <w:sz w:val="24"/>
          <w:szCs w:val="24"/>
        </w:rPr>
        <w:t xml:space="preserve"> % całkowitego przychodu Szpitala.</w:t>
      </w:r>
    </w:p>
    <w:p w14:paraId="453458E0" w14:textId="77777777" w:rsidR="00350FC3" w:rsidRPr="00AB0339" w:rsidRDefault="00350FC3" w:rsidP="005F4E9E">
      <w:pPr>
        <w:pStyle w:val="Standard"/>
        <w:spacing w:line="360" w:lineRule="auto"/>
        <w:jc w:val="both"/>
        <w:rPr>
          <w:rFonts w:cs="Times New Roman"/>
        </w:rPr>
      </w:pPr>
      <w:r w:rsidRPr="00AB0339">
        <w:rPr>
          <w:rFonts w:cs="Times New Roman"/>
        </w:rPr>
        <w:t>Samodzielny Publiczny Zespół Zakładów Opieki Zdrowotnej w Wyszkowie w 2025 roku zawarł z Narodowym Funduszem Zdrowia następujące rodzaje umów:</w:t>
      </w:r>
    </w:p>
    <w:p w14:paraId="0442567B" w14:textId="77777777" w:rsidR="00350FC3" w:rsidRPr="00AB0339" w:rsidRDefault="00350FC3" w:rsidP="00350FC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Umowa o udzielanie świadczeń opieki zdrowotnej w systemie podstawowego szpitalnego zabezpieczenia świadczeń opieki zdrowotnej (PSZ – szpital I stopnia), w ramach której </w:t>
      </w:r>
      <w:r w:rsidRPr="00AB0339">
        <w:rPr>
          <w:rFonts w:ascii="Times New Roman" w:hAnsi="Times New Roman"/>
          <w:sz w:val="24"/>
          <w:szCs w:val="24"/>
        </w:rPr>
        <w:lastRenderedPageBreak/>
        <w:t>nasza jednostka uzyskuje największy przychód. Przychód ten ma formę comiesięcznego ryczałtu.</w:t>
      </w:r>
    </w:p>
    <w:p w14:paraId="7FFC5CA2" w14:textId="77777777" w:rsidR="00350FC3" w:rsidRPr="00AB0339" w:rsidRDefault="00350FC3" w:rsidP="00350FC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b/>
          <w:bCs/>
          <w:sz w:val="24"/>
          <w:szCs w:val="24"/>
        </w:rPr>
        <w:t>ryczałt podstawowego szpitalnego zabezpieczenia</w:t>
      </w:r>
      <w:r w:rsidRPr="00AB0339">
        <w:rPr>
          <w:rFonts w:ascii="Times New Roman" w:hAnsi="Times New Roman"/>
          <w:sz w:val="24"/>
          <w:szCs w:val="24"/>
        </w:rPr>
        <w:t xml:space="preserve"> – szpital I stopnia, w tym świadczenia udzielane w następujących miejscach:</w:t>
      </w:r>
    </w:p>
    <w:p w14:paraId="0F7ABCA6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Ginekologiczno – Położniczy,</w:t>
      </w:r>
    </w:p>
    <w:p w14:paraId="72A3E147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Chorób Wewnętrznych i Diabetologii,</w:t>
      </w:r>
    </w:p>
    <w:p w14:paraId="14064ABF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Kardiologiczny,</w:t>
      </w:r>
    </w:p>
    <w:p w14:paraId="506E2EDE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Anestezjologii i Intensywnej Terapii,</w:t>
      </w:r>
    </w:p>
    <w:p w14:paraId="2E08DE4E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Chirurgiczny Ogólny,</w:t>
      </w:r>
    </w:p>
    <w:p w14:paraId="25452024" w14:textId="77777777" w:rsidR="00350FC3" w:rsidRPr="00AB0339" w:rsidRDefault="00350FC3" w:rsidP="00350FC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Oddział Chirurgii Urazowo – Ortopedycznej,</w:t>
      </w:r>
    </w:p>
    <w:p w14:paraId="67EEDBB1" w14:textId="77777777" w:rsidR="00350FC3" w:rsidRPr="00AB0339" w:rsidRDefault="00350FC3" w:rsidP="00350FC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b/>
          <w:bCs/>
          <w:sz w:val="24"/>
          <w:szCs w:val="24"/>
        </w:rPr>
        <w:t>zakresy finansowane odrębnie</w:t>
      </w:r>
      <w:r w:rsidRPr="00AB0339">
        <w:rPr>
          <w:rFonts w:ascii="Times New Roman" w:hAnsi="Times New Roman"/>
          <w:sz w:val="24"/>
          <w:szCs w:val="24"/>
        </w:rPr>
        <w:t xml:space="preserve"> – poza ryczałtem (w ramach powyższej umowy):</w:t>
      </w:r>
    </w:p>
    <w:p w14:paraId="516F149A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Położnictwo i Ginekologia – II poziom referencyjny,        </w:t>
      </w:r>
    </w:p>
    <w:p w14:paraId="2D764917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Neonatologia – II poziom referencyjny,</w:t>
      </w:r>
    </w:p>
    <w:p w14:paraId="2DDEB579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Oddział Pediatryczny,        </w:t>
      </w:r>
    </w:p>
    <w:p w14:paraId="53E4ACB0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Szpitalny Oddział Ratunkowy,</w:t>
      </w:r>
    </w:p>
    <w:p w14:paraId="06C1AB97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Badania endoskopowe przewodu pokarmowego: gastroskopia i kolonoskopia,                                                                    </w:t>
      </w:r>
    </w:p>
    <w:p w14:paraId="4EE0768D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Onkologiczna,</w:t>
      </w:r>
    </w:p>
    <w:p w14:paraId="1430EFFE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Pulmonologiczna,</w:t>
      </w:r>
    </w:p>
    <w:p w14:paraId="3473A4E9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Reumatologiczna,</w:t>
      </w:r>
    </w:p>
    <w:p w14:paraId="538A5CFA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Ginekologiczno – Położnicza,</w:t>
      </w:r>
    </w:p>
    <w:p w14:paraId="7E1DD6F5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Chirurgii Ogólnej,</w:t>
      </w:r>
    </w:p>
    <w:p w14:paraId="59CC63AC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Gastroenterologiczna,</w:t>
      </w:r>
    </w:p>
    <w:p w14:paraId="1118A244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Diabetologiczna,</w:t>
      </w:r>
    </w:p>
    <w:p w14:paraId="7915C9F0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Kardiologiczna,</w:t>
      </w:r>
    </w:p>
    <w:p w14:paraId="53F10814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Neurologiczna,</w:t>
      </w:r>
    </w:p>
    <w:p w14:paraId="60CFC5E6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Neonatologiczna,</w:t>
      </w:r>
    </w:p>
    <w:p w14:paraId="1DE7F235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Poradnia Endokrynologiczna,</w:t>
      </w:r>
    </w:p>
    <w:p w14:paraId="66439313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Poradnia Chirurgii Urazowo – Ortopedycznej,                             </w:t>
      </w:r>
    </w:p>
    <w:p w14:paraId="496E261B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Pakiety onkologiczne w poradniach specjalistycznych,</w:t>
      </w:r>
    </w:p>
    <w:p w14:paraId="21B8AA5C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Rehabilitacja ogólnoustrojowa w ośrodku/ oddział dzienny,                      </w:t>
      </w:r>
    </w:p>
    <w:p w14:paraId="446C4903" w14:textId="77777777" w:rsidR="00350FC3" w:rsidRPr="00AB0339" w:rsidRDefault="00350FC3" w:rsidP="00350F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Świadczenia nocnej i świątecznej opieki zdrowotnej (NPL).</w:t>
      </w:r>
    </w:p>
    <w:p w14:paraId="0939DDC5" w14:textId="77777777" w:rsidR="00350FC3" w:rsidRPr="00AB0339" w:rsidRDefault="00350FC3" w:rsidP="00350FC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b/>
          <w:bCs/>
          <w:sz w:val="24"/>
          <w:szCs w:val="24"/>
        </w:rPr>
        <w:lastRenderedPageBreak/>
        <w:t>Pozostałe obowiązujące umowy poza systemem PSZ</w:t>
      </w:r>
      <w:r w:rsidRPr="00AB0339">
        <w:rPr>
          <w:rFonts w:ascii="Times New Roman" w:hAnsi="Times New Roman"/>
          <w:sz w:val="24"/>
          <w:szCs w:val="24"/>
        </w:rPr>
        <w:t xml:space="preserve"> realizowane są w następujących </w:t>
      </w:r>
      <w:r w:rsidRPr="00AB0339">
        <w:rPr>
          <w:rFonts w:ascii="Times New Roman" w:hAnsi="Times New Roman"/>
          <w:sz w:val="24"/>
          <w:szCs w:val="24"/>
        </w:rPr>
        <w:br/>
        <w:t>rodzajach:</w:t>
      </w:r>
    </w:p>
    <w:p w14:paraId="0BFD94B4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Rehabilitacja lecznicza,</w:t>
      </w:r>
    </w:p>
    <w:p w14:paraId="1A3E7178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Opieka psychiatryczna i leczenie uzależnień,</w:t>
      </w:r>
    </w:p>
    <w:p w14:paraId="6893C549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Ambulatoryjna opieka specjalistyczna – świadczenia w zakresie okulistyki </w:t>
      </w:r>
      <w:r w:rsidRPr="00AB0339">
        <w:rPr>
          <w:rFonts w:ascii="Times New Roman" w:hAnsi="Times New Roman"/>
          <w:sz w:val="24"/>
          <w:szCs w:val="24"/>
        </w:rPr>
        <w:br/>
        <w:t>i otolaryngologii,</w:t>
      </w:r>
    </w:p>
    <w:p w14:paraId="0804604F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Ambulatoryjna opieka specjalistyczna – świadczenia w zakresie chorób wewnętrznych i pediatrii,</w:t>
      </w:r>
    </w:p>
    <w:p w14:paraId="2AEF618F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 xml:space="preserve">Ambulatoryjna opieka specjalistyczna – świadczenia w zakresie leczenie osteoporozy </w:t>
      </w:r>
      <w:r w:rsidRPr="00AB0339">
        <w:rPr>
          <w:rFonts w:ascii="Times New Roman" w:hAnsi="Times New Roman"/>
          <w:sz w:val="24"/>
          <w:szCs w:val="24"/>
        </w:rPr>
        <w:br/>
        <w:t>i urologii,</w:t>
      </w:r>
    </w:p>
    <w:p w14:paraId="3C7E80E4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Ambulatoryjna opieka specjalistyczna – ambulatoryjne świadczenia diagnostyczne kosztochłonne w zakresie tomografii komputerowej,</w:t>
      </w:r>
    </w:p>
    <w:p w14:paraId="5C2391C7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Profilaktyka raka jelita grubego – kolonoskopia profilaktyczna,</w:t>
      </w:r>
    </w:p>
    <w:p w14:paraId="5B9C6F29" w14:textId="77777777" w:rsidR="00350FC3" w:rsidRPr="00AB0339" w:rsidRDefault="00350FC3" w:rsidP="00350FC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Świadczenia zdrowotne – dobry posiłek w szpitalu.</w:t>
      </w:r>
    </w:p>
    <w:p w14:paraId="276EA352" w14:textId="77777777" w:rsidR="00FC7DF6" w:rsidRPr="003F542A" w:rsidRDefault="00FC7DF6" w:rsidP="00FC7D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F542A">
        <w:rPr>
          <w:rFonts w:ascii="Times New Roman" w:hAnsi="Times New Roman"/>
          <w:b/>
          <w:sz w:val="24"/>
          <w:szCs w:val="24"/>
        </w:rPr>
        <w:t>II.2. Struktura kosztów</w:t>
      </w:r>
    </w:p>
    <w:tbl>
      <w:tblPr>
        <w:tblW w:w="9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2"/>
        <w:gridCol w:w="1984"/>
        <w:gridCol w:w="1985"/>
        <w:gridCol w:w="1843"/>
      </w:tblGrid>
      <w:tr w:rsidR="001E312A" w:rsidRPr="001E312A" w14:paraId="17BC7C9E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4FFD" w14:textId="77777777" w:rsidR="00FC7DF6" w:rsidRPr="003F542A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3F542A">
              <w:rPr>
                <w:b/>
                <w:i/>
                <w:sz w:val="22"/>
                <w:szCs w:val="22"/>
              </w:rPr>
              <w:t>Rodzaj kosztów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7686" w14:textId="77777777" w:rsidR="00FC7DF6" w:rsidRPr="003F542A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3F542A">
              <w:rPr>
                <w:b/>
                <w:i/>
                <w:sz w:val="22"/>
                <w:szCs w:val="22"/>
              </w:rPr>
              <w:t>Kwota w zł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D5CF" w14:textId="77777777" w:rsidR="00FC7DF6" w:rsidRPr="00F33A85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F33A85">
              <w:rPr>
                <w:b/>
                <w:i/>
                <w:sz w:val="22"/>
                <w:szCs w:val="22"/>
              </w:rPr>
              <w:t xml:space="preserve">Udział % </w:t>
            </w:r>
            <w:r w:rsidRPr="00F33A85">
              <w:rPr>
                <w:b/>
                <w:i/>
                <w:sz w:val="22"/>
                <w:szCs w:val="22"/>
              </w:rPr>
              <w:br/>
              <w:t>w kosztach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74C07" w14:textId="77777777" w:rsidR="00FC7DF6" w:rsidRPr="00F33A85" w:rsidRDefault="00FC7DF6" w:rsidP="00D821A3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F33A85">
              <w:rPr>
                <w:b/>
                <w:i/>
                <w:sz w:val="22"/>
                <w:szCs w:val="22"/>
              </w:rPr>
              <w:t xml:space="preserve">Udział % </w:t>
            </w:r>
            <w:r w:rsidRPr="00F33A85">
              <w:rPr>
                <w:b/>
                <w:i/>
                <w:sz w:val="22"/>
                <w:szCs w:val="22"/>
              </w:rPr>
              <w:br/>
              <w:t>w przychodach</w:t>
            </w:r>
          </w:p>
        </w:tc>
      </w:tr>
      <w:tr w:rsidR="001E312A" w:rsidRPr="001E312A" w14:paraId="007A81F1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653C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Amortyzacja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6C3D" w14:textId="593714EE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4 780 720,59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37E7" w14:textId="1F4E4107" w:rsidR="00FC7DF6" w:rsidRPr="00F33A85" w:rsidRDefault="00F33A8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3,53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8F674C" w14:textId="0955ABBE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3,59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7B18229C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97EB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Zużycie materiałów i energii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1A5E" w14:textId="0AC60306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14 412 056,24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613D" w14:textId="341BFA53" w:rsidR="00FC7DF6" w:rsidRPr="00F33A85" w:rsidRDefault="00F33A8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10,63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EB39E1" w14:textId="7B830664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10,81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7A1D2955" w14:textId="77777777" w:rsidTr="00BB06BD">
        <w:trPr>
          <w:trHeight w:val="248"/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AB83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Usługi obce, w tym: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AFB6" w14:textId="4FD5C0F7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44 746 991,11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9AE8" w14:textId="1B9A1203" w:rsidR="00FC7DF6" w:rsidRPr="00F33A85" w:rsidRDefault="001E5AF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3</w:t>
            </w:r>
            <w:r w:rsidR="00F33A85" w:rsidRPr="00F33A85">
              <w:rPr>
                <w:i/>
                <w:iCs/>
                <w:sz w:val="22"/>
                <w:szCs w:val="22"/>
              </w:rPr>
              <w:t>3,02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47C30" w14:textId="34A86BCF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33,58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4C35F264" w14:textId="77777777" w:rsidTr="00BB06BD">
        <w:trPr>
          <w:trHeight w:val="248"/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914C" w14:textId="77777777" w:rsidR="00FC7DF6" w:rsidRPr="003F542A" w:rsidRDefault="00FC7DF6" w:rsidP="00D821A3">
            <w:pPr>
              <w:pStyle w:val="Standard"/>
              <w:ind w:left="284"/>
              <w:rPr>
                <w:i/>
                <w:iCs/>
                <w:sz w:val="22"/>
                <w:szCs w:val="22"/>
              </w:rPr>
            </w:pPr>
            <w:r w:rsidRPr="003F542A">
              <w:rPr>
                <w:i/>
                <w:iCs/>
                <w:sz w:val="22"/>
                <w:szCs w:val="22"/>
              </w:rPr>
              <w:t>- kontrakty medyczne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EE58" w14:textId="457A7915" w:rsidR="00FC7DF6" w:rsidRPr="003F542A" w:rsidRDefault="003F542A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3F542A">
              <w:rPr>
                <w:i/>
                <w:iCs/>
                <w:sz w:val="22"/>
                <w:szCs w:val="22"/>
              </w:rPr>
              <w:t>34 852 957,29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88BA" w14:textId="77389686" w:rsidR="00FC7DF6" w:rsidRPr="00F33A85" w:rsidRDefault="001E5AF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2</w:t>
            </w:r>
            <w:r w:rsidR="00F33A85" w:rsidRPr="00F33A85">
              <w:rPr>
                <w:i/>
                <w:iCs/>
                <w:sz w:val="22"/>
                <w:szCs w:val="22"/>
              </w:rPr>
              <w:t>5,72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30A7B" w14:textId="7F67E5EC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26,15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2285EC3D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BAC6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Podatki i opłaty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0C9B" w14:textId="55180B54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433 395,77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582" w14:textId="5EF0BDF8" w:rsidR="00FC7DF6" w:rsidRPr="00F33A85" w:rsidRDefault="002F79FA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0,</w:t>
            </w:r>
            <w:r w:rsidR="00F33A85" w:rsidRPr="00F33A85">
              <w:rPr>
                <w:i/>
                <w:iCs/>
                <w:sz w:val="22"/>
                <w:szCs w:val="22"/>
              </w:rPr>
              <w:t>32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6D05D7" w14:textId="70573C4E" w:rsidR="00FC7DF6" w:rsidRPr="00F33A85" w:rsidRDefault="0063338C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0,</w:t>
            </w:r>
            <w:r w:rsidR="00F33A85" w:rsidRPr="00F33A85">
              <w:rPr>
                <w:i/>
                <w:sz w:val="22"/>
                <w:szCs w:val="22"/>
              </w:rPr>
              <w:t>33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69FD2F71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9F8E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Wynagrodzenia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B153" w14:textId="008C7152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54 632 687,51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9379" w14:textId="63860EA0" w:rsidR="00FC7DF6" w:rsidRPr="00F33A85" w:rsidRDefault="003C2E3E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4</w:t>
            </w:r>
            <w:r w:rsidR="00F33A85" w:rsidRPr="00F33A85">
              <w:rPr>
                <w:i/>
                <w:iCs/>
                <w:sz w:val="22"/>
                <w:szCs w:val="22"/>
              </w:rPr>
              <w:t>0,31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A4605" w14:textId="39D5C1BE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41,00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63C9E198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E52F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Ubezpieczenia i inne świadczenia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FB77" w14:textId="65380549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10 794 161,73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D154" w14:textId="31AF1579" w:rsidR="00FC7DF6" w:rsidRPr="00F33A85" w:rsidRDefault="00F33A8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7,96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38032" w14:textId="761E83E9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8,10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3EA91DF5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5F7B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Pozostałe koszty rodzajowe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D4AB" w14:textId="699CC239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574 783,20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5593" w14:textId="15EC0173" w:rsidR="00FC7DF6" w:rsidRPr="00F33A85" w:rsidRDefault="002F79FA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0,</w:t>
            </w:r>
            <w:r w:rsidR="00F33A85" w:rsidRPr="00F33A85">
              <w:rPr>
                <w:i/>
                <w:iCs/>
                <w:sz w:val="22"/>
                <w:szCs w:val="22"/>
              </w:rPr>
              <w:t>42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1BDBF" w14:textId="37805A4E" w:rsidR="00FC7DF6" w:rsidRPr="00F33A85" w:rsidRDefault="0074689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0,</w:t>
            </w:r>
            <w:r w:rsidR="00F33A85" w:rsidRPr="00F33A85">
              <w:rPr>
                <w:i/>
                <w:sz w:val="22"/>
                <w:szCs w:val="22"/>
              </w:rPr>
              <w:t>43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73BA5708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041C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Pozostałe koszty operacyjne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AAA6" w14:textId="491BC68D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3 445 279,60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5B2C" w14:textId="7AEA0482" w:rsidR="00FC7DF6" w:rsidRPr="00F33A85" w:rsidRDefault="00F33A85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2,54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EA205" w14:textId="23B3331F" w:rsidR="00FC7DF6" w:rsidRPr="00F33A85" w:rsidRDefault="00F33A85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2,59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29809147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B71B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Koszty finansowe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618C" w14:textId="72CEFF65" w:rsidR="00FC7DF6" w:rsidRPr="003F542A" w:rsidRDefault="003F542A" w:rsidP="00D821A3">
            <w:pPr>
              <w:pStyle w:val="Standard"/>
              <w:jc w:val="right"/>
              <w:rPr>
                <w:sz w:val="22"/>
                <w:szCs w:val="22"/>
              </w:rPr>
            </w:pPr>
            <w:r w:rsidRPr="003F542A">
              <w:rPr>
                <w:sz w:val="22"/>
                <w:szCs w:val="22"/>
              </w:rPr>
              <w:t>1 714 539,42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106E" w14:textId="14CB1558" w:rsidR="00FC7DF6" w:rsidRPr="00F33A85" w:rsidRDefault="003C2E3E" w:rsidP="00D821A3">
            <w:pPr>
              <w:pStyle w:val="Standard"/>
              <w:jc w:val="right"/>
              <w:rPr>
                <w:i/>
                <w:iCs/>
                <w:sz w:val="22"/>
                <w:szCs w:val="22"/>
              </w:rPr>
            </w:pPr>
            <w:r w:rsidRPr="00F33A85">
              <w:rPr>
                <w:i/>
                <w:iCs/>
                <w:sz w:val="22"/>
                <w:szCs w:val="22"/>
              </w:rPr>
              <w:t>1,</w:t>
            </w:r>
            <w:r w:rsidR="00F33A85" w:rsidRPr="00F33A85">
              <w:rPr>
                <w:i/>
                <w:iCs/>
                <w:sz w:val="22"/>
                <w:szCs w:val="22"/>
              </w:rPr>
              <w:t>27</w:t>
            </w:r>
            <w:r w:rsidR="00FC7DF6" w:rsidRPr="00F33A85">
              <w:rPr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13F3E6" w14:textId="53B495D0" w:rsidR="00FC7DF6" w:rsidRPr="00F33A85" w:rsidRDefault="003C2E3E" w:rsidP="00D821A3">
            <w:pPr>
              <w:pStyle w:val="Standard"/>
              <w:ind w:right="131"/>
              <w:jc w:val="right"/>
              <w:rPr>
                <w:i/>
                <w:sz w:val="22"/>
                <w:szCs w:val="22"/>
              </w:rPr>
            </w:pPr>
            <w:r w:rsidRPr="00F33A85">
              <w:rPr>
                <w:i/>
                <w:sz w:val="22"/>
                <w:szCs w:val="22"/>
              </w:rPr>
              <w:t>1,</w:t>
            </w:r>
            <w:r w:rsidR="00F33A85" w:rsidRPr="00F33A85">
              <w:rPr>
                <w:i/>
                <w:sz w:val="22"/>
                <w:szCs w:val="22"/>
              </w:rPr>
              <w:t>28</w:t>
            </w:r>
            <w:r w:rsidR="00FC7DF6" w:rsidRPr="00F33A85">
              <w:rPr>
                <w:i/>
                <w:sz w:val="22"/>
                <w:szCs w:val="22"/>
              </w:rPr>
              <w:t xml:space="preserve"> %</w:t>
            </w:r>
          </w:p>
        </w:tc>
      </w:tr>
      <w:tr w:rsidR="001E312A" w:rsidRPr="001E312A" w14:paraId="15066266" w14:textId="77777777" w:rsidTr="00BB06BD">
        <w:trPr>
          <w:jc w:val="center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8A6" w14:textId="77777777" w:rsidR="00FC7DF6" w:rsidRPr="003F542A" w:rsidRDefault="00FC7DF6" w:rsidP="00D821A3">
            <w:pPr>
              <w:pStyle w:val="Standard"/>
              <w:rPr>
                <w:sz w:val="22"/>
                <w:szCs w:val="22"/>
              </w:rPr>
            </w:pPr>
            <w:r w:rsidRPr="003F542A">
              <w:rPr>
                <w:b/>
                <w:sz w:val="22"/>
                <w:szCs w:val="22"/>
              </w:rPr>
              <w:t>RAZEM KOSZTY: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7990" w14:textId="2F94EA4E" w:rsidR="00FC7DF6" w:rsidRPr="003F542A" w:rsidRDefault="003F542A" w:rsidP="00D821A3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3F542A">
              <w:rPr>
                <w:b/>
                <w:bCs/>
                <w:sz w:val="22"/>
                <w:szCs w:val="22"/>
              </w:rPr>
              <w:t>135 534 615,17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5A50" w14:textId="77777777" w:rsidR="00FC7DF6" w:rsidRPr="00F33A85" w:rsidRDefault="00FC7DF6" w:rsidP="00D821A3">
            <w:pPr>
              <w:pStyle w:val="Standard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33A85">
              <w:rPr>
                <w:b/>
                <w:bCs/>
                <w:i/>
                <w:iCs/>
                <w:sz w:val="22"/>
                <w:szCs w:val="22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1701B" w14:textId="6A92FD8E" w:rsidR="00FC7DF6" w:rsidRPr="00F33A85" w:rsidRDefault="00F33A85" w:rsidP="00D821A3">
            <w:pPr>
              <w:pStyle w:val="Standard"/>
              <w:ind w:right="131"/>
              <w:jc w:val="right"/>
              <w:rPr>
                <w:sz w:val="22"/>
                <w:szCs w:val="22"/>
              </w:rPr>
            </w:pPr>
            <w:r w:rsidRPr="00F33A85">
              <w:rPr>
                <w:b/>
                <w:bCs/>
                <w:i/>
                <w:iCs/>
                <w:sz w:val="22"/>
                <w:szCs w:val="22"/>
              </w:rPr>
              <w:t>101,71</w:t>
            </w:r>
            <w:r w:rsidR="00FC7DF6" w:rsidRPr="00F33A85">
              <w:rPr>
                <w:b/>
                <w:bCs/>
                <w:i/>
                <w:iCs/>
                <w:sz w:val="22"/>
                <w:szCs w:val="22"/>
              </w:rPr>
              <w:t xml:space="preserve"> %</w:t>
            </w:r>
          </w:p>
        </w:tc>
      </w:tr>
    </w:tbl>
    <w:p w14:paraId="30F9AB70" w14:textId="77777777" w:rsidR="00FC7DF6" w:rsidRPr="001E312A" w:rsidRDefault="00FC7DF6" w:rsidP="00FC7DF6">
      <w:pPr>
        <w:pStyle w:val="Standard"/>
        <w:rPr>
          <w:color w:val="FF0000"/>
        </w:rPr>
      </w:pPr>
    </w:p>
    <w:p w14:paraId="5B06B32C" w14:textId="47600205" w:rsidR="00FC7DF6" w:rsidRPr="00F33A85" w:rsidRDefault="00FC7DF6" w:rsidP="005F4E9E">
      <w:pPr>
        <w:pStyle w:val="Standard"/>
        <w:spacing w:line="360" w:lineRule="auto"/>
        <w:jc w:val="both"/>
      </w:pPr>
      <w:r w:rsidRPr="003F542A">
        <w:t xml:space="preserve">Najwyższe koszty jednostki to </w:t>
      </w:r>
      <w:r w:rsidRPr="00E74D11">
        <w:rPr>
          <w:bCs/>
        </w:rPr>
        <w:t>koszty osobowe, w</w:t>
      </w:r>
      <w:r w:rsidRPr="003F542A">
        <w:t xml:space="preserve"> tym: wynagrodzenia z tytułu umów o pracę,</w:t>
      </w:r>
      <w:r w:rsidR="00F22C97">
        <w:t xml:space="preserve"> </w:t>
      </w:r>
      <w:r w:rsidRPr="003F542A">
        <w:t>umowy zlecenia, umowy cywilnoprawne (kontrakty medyczne),</w:t>
      </w:r>
      <w:r w:rsidR="00F22C97">
        <w:t xml:space="preserve"> </w:t>
      </w:r>
      <w:r w:rsidRPr="003F542A">
        <w:t>pochodne od wynagrodzeń: składki na ubezpieczenie społeczne i fundusz pracy, fundusz socjalny, odzież robocza i inne świadczenia na rzecz pracowników.</w:t>
      </w:r>
      <w:r w:rsidR="00F22C97">
        <w:t xml:space="preserve"> </w:t>
      </w:r>
      <w:r w:rsidRPr="003F542A">
        <w:t>Koszty osobowe w 20</w:t>
      </w:r>
      <w:r w:rsidR="00F456B4" w:rsidRPr="003F542A">
        <w:t>2</w:t>
      </w:r>
      <w:r w:rsidR="003F542A" w:rsidRPr="003F542A">
        <w:t>4</w:t>
      </w:r>
      <w:r w:rsidRPr="003F542A">
        <w:t xml:space="preserve"> roku </w:t>
      </w:r>
      <w:r w:rsidRPr="003F542A">
        <w:rPr>
          <w:bCs/>
        </w:rPr>
        <w:t xml:space="preserve">stanowią </w:t>
      </w:r>
      <w:r w:rsidR="003F542A" w:rsidRPr="003F542A">
        <w:rPr>
          <w:bCs/>
        </w:rPr>
        <w:t>73,99</w:t>
      </w:r>
      <w:r w:rsidRPr="003F542A">
        <w:rPr>
          <w:bCs/>
        </w:rPr>
        <w:t xml:space="preserve"> % wszystkich kosztów. </w:t>
      </w:r>
      <w:r w:rsidRPr="003F542A">
        <w:t xml:space="preserve">Koszty osobowe w podmiotach leczniczych stanowią bardzo wysoki udział. Usługi wykonuje wykwalifikowana i doświadczona kadra medyczna, co generuje wysokie koszty pracy. Zapewnienie personelu medycznego z odpowiednimi kwalifikacjami jest najtrudniejszym elementem organizacji procesu udzielania świadczeń. Natomiast efektem </w:t>
      </w:r>
      <w:r w:rsidRPr="003F542A">
        <w:lastRenderedPageBreak/>
        <w:t xml:space="preserve">wykorzystania outsourcingu jest przesunięcie części kosztów pracy do zakresu usług obcych. Dotyczy to w szczególności kontraktów osób </w:t>
      </w:r>
      <w:r w:rsidR="00F22C97">
        <w:t>udzielających świadczeń zdrowotnych</w:t>
      </w:r>
      <w:r w:rsidRPr="003F542A">
        <w:t xml:space="preserve"> w ramach działalności gospodarczej. W 20</w:t>
      </w:r>
      <w:r w:rsidR="00BB06BD" w:rsidRPr="003F542A">
        <w:t>2</w:t>
      </w:r>
      <w:r w:rsidR="00F22C97">
        <w:t>4</w:t>
      </w:r>
      <w:r w:rsidRPr="003F542A">
        <w:t xml:space="preserve"> roku zanotowano wysoki wzrost kosztów osobowych,</w:t>
      </w:r>
      <w:r w:rsidR="00FE444D" w:rsidRPr="003F542A">
        <w:t xml:space="preserve"> </w:t>
      </w:r>
      <w:r w:rsidR="00F22C97">
        <w:br/>
      </w:r>
      <w:r w:rsidRPr="00F33A85">
        <w:t xml:space="preserve">z kwoty </w:t>
      </w:r>
      <w:r w:rsidR="00F33A85" w:rsidRPr="00F33A85">
        <w:t>82,5</w:t>
      </w:r>
      <w:r w:rsidRPr="00F33A85">
        <w:t xml:space="preserve"> mln złotych w 20</w:t>
      </w:r>
      <w:r w:rsidR="002501E5" w:rsidRPr="00F33A85">
        <w:t>2</w:t>
      </w:r>
      <w:r w:rsidR="00F33A85" w:rsidRPr="00F33A85">
        <w:t>3</w:t>
      </w:r>
      <w:r w:rsidRPr="00F33A85">
        <w:t xml:space="preserve"> roku do </w:t>
      </w:r>
      <w:r w:rsidR="00F33A85" w:rsidRPr="00F33A85">
        <w:t>100,3</w:t>
      </w:r>
      <w:r w:rsidRPr="00F33A85">
        <w:t xml:space="preserve"> mln złotych w 20</w:t>
      </w:r>
      <w:r w:rsidR="00BB06BD" w:rsidRPr="00F33A85">
        <w:t>2</w:t>
      </w:r>
      <w:r w:rsidR="00F33A85" w:rsidRPr="00F33A85">
        <w:t>4</w:t>
      </w:r>
      <w:r w:rsidRPr="00F33A85">
        <w:t xml:space="preserve"> roku, tj. </w:t>
      </w:r>
      <w:r w:rsidR="00F22C97">
        <w:t xml:space="preserve">wzrost </w:t>
      </w:r>
      <w:r w:rsidR="005F4E9E">
        <w:br/>
      </w:r>
      <w:r w:rsidRPr="00F33A85">
        <w:t xml:space="preserve">o </w:t>
      </w:r>
      <w:r w:rsidR="00F33A85" w:rsidRPr="00F33A85">
        <w:t>21,45</w:t>
      </w:r>
      <w:r w:rsidRPr="00F33A85">
        <w:t xml:space="preserve"> %</w:t>
      </w:r>
      <w:r w:rsidR="009C68EF" w:rsidRPr="00F33A85">
        <w:t>.</w:t>
      </w:r>
    </w:p>
    <w:p w14:paraId="75F4EC26" w14:textId="2F890FE3" w:rsidR="00FC7DF6" w:rsidRPr="00525596" w:rsidRDefault="009824F6" w:rsidP="00FC7DF6">
      <w:pPr>
        <w:pStyle w:val="Standard"/>
        <w:spacing w:line="360" w:lineRule="auto"/>
        <w:jc w:val="both"/>
      </w:pPr>
      <w:r>
        <w:rPr>
          <w:color w:val="000000"/>
        </w:rPr>
        <w:t xml:space="preserve">Dynamikę wzrostu wykazuje </w:t>
      </w:r>
      <w:r w:rsidRPr="00F22C97">
        <w:rPr>
          <w:color w:val="000000"/>
        </w:rPr>
        <w:t>także amortyzacja</w:t>
      </w:r>
      <w:r>
        <w:rPr>
          <w:color w:val="000000"/>
        </w:rPr>
        <w:t xml:space="preserve">, która </w:t>
      </w:r>
      <w:r w:rsidR="00FC7DF6" w:rsidRPr="00525596">
        <w:t>w 20</w:t>
      </w:r>
      <w:r w:rsidR="002F2B2A" w:rsidRPr="00525596">
        <w:t>2</w:t>
      </w:r>
      <w:r w:rsidR="003F542A" w:rsidRPr="00525596">
        <w:t>4</w:t>
      </w:r>
      <w:r w:rsidR="00FC7DF6" w:rsidRPr="00525596">
        <w:t xml:space="preserve"> roku wyniosła </w:t>
      </w:r>
      <w:r w:rsidR="00525596" w:rsidRPr="00525596">
        <w:t>4 780 720,59</w:t>
      </w:r>
      <w:r w:rsidR="00FC7DF6" w:rsidRPr="00525596">
        <w:t xml:space="preserve"> zł</w:t>
      </w:r>
      <w:r w:rsidR="009535FB" w:rsidRPr="00525596">
        <w:t>.</w:t>
      </w:r>
      <w:r w:rsidR="00FC7DF6" w:rsidRPr="00525596">
        <w:t xml:space="preserve"> </w:t>
      </w:r>
      <w:r w:rsidR="009535FB" w:rsidRPr="00525596">
        <w:t xml:space="preserve">Dotyczy ona w głównej mierze majątku sfinansowanego środkami zewnętrznymi. </w:t>
      </w:r>
      <w:r>
        <w:t>Jednocześnie w</w:t>
      </w:r>
      <w:r w:rsidR="00FC7DF6" w:rsidRPr="00525596">
        <w:t xml:space="preserve"> 20</w:t>
      </w:r>
      <w:r w:rsidR="000A0E11" w:rsidRPr="00525596">
        <w:t>2</w:t>
      </w:r>
      <w:r w:rsidR="00525596" w:rsidRPr="00525596">
        <w:t>4</w:t>
      </w:r>
      <w:r w:rsidR="00FC7DF6" w:rsidRPr="00525596">
        <w:t xml:space="preserve"> roku jednostka odnotowała pozostałe przychody operacyjne stanowiące równowartość odpisów amortyzacyjnych w kwocie </w:t>
      </w:r>
      <w:r w:rsidR="00525596" w:rsidRPr="00525596">
        <w:t>3 741 292,74</w:t>
      </w:r>
      <w:r w:rsidR="00FC7DF6" w:rsidRPr="00525596">
        <w:t xml:space="preserve"> zł.</w:t>
      </w:r>
    </w:p>
    <w:p w14:paraId="1D1E7679" w14:textId="594AA63E" w:rsidR="00060BFD" w:rsidRPr="001E312A" w:rsidRDefault="00FC7DF6" w:rsidP="00B22660">
      <w:pPr>
        <w:pStyle w:val="Standard"/>
        <w:spacing w:after="240" w:line="360" w:lineRule="auto"/>
        <w:jc w:val="both"/>
        <w:rPr>
          <w:b/>
          <w:color w:val="FF0000"/>
        </w:rPr>
      </w:pPr>
      <w:r w:rsidRPr="009824F6">
        <w:rPr>
          <w:b/>
        </w:rPr>
        <w:t xml:space="preserve">Koszty finansowe </w:t>
      </w:r>
      <w:r w:rsidRPr="009824F6">
        <w:t>związane ze spłatą kredyt</w:t>
      </w:r>
      <w:r w:rsidR="00621543" w:rsidRPr="009824F6">
        <w:t>ów</w:t>
      </w:r>
      <w:r w:rsidRPr="009824F6">
        <w:t xml:space="preserve"> inwestycyjn</w:t>
      </w:r>
      <w:r w:rsidR="00621543" w:rsidRPr="009824F6">
        <w:t>ych, kredytu nieodnawialnego,</w:t>
      </w:r>
      <w:r w:rsidRPr="009824F6">
        <w:t xml:space="preserve"> kredytu obrotowego</w:t>
      </w:r>
      <w:r w:rsidR="00621543" w:rsidRPr="009824F6">
        <w:t xml:space="preserve">, odsetek z tytułu </w:t>
      </w:r>
      <w:r w:rsidR="00FE444D" w:rsidRPr="009824F6">
        <w:t>realizacji wyroków sądowych</w:t>
      </w:r>
      <w:r w:rsidRPr="009824F6">
        <w:t xml:space="preserve"> oraz obsługą zobowiązań wymagalnych stanowią niewielki odsetek kosztów (</w:t>
      </w:r>
      <w:r w:rsidR="001C416B" w:rsidRPr="009824F6">
        <w:t>1,</w:t>
      </w:r>
      <w:r w:rsidR="009824F6" w:rsidRPr="009824F6">
        <w:t>27</w:t>
      </w:r>
      <w:r w:rsidRPr="009824F6">
        <w:t xml:space="preserve"> %)</w:t>
      </w:r>
      <w:r w:rsidR="001C416B" w:rsidRPr="009824F6">
        <w:t xml:space="preserve"> i </w:t>
      </w:r>
      <w:r w:rsidRPr="009824F6">
        <w:t xml:space="preserve">są </w:t>
      </w:r>
      <w:r w:rsidR="009824F6" w:rsidRPr="009824F6">
        <w:t>na tym samym poziomie, jak</w:t>
      </w:r>
      <w:r w:rsidRPr="009824F6">
        <w:t xml:space="preserve"> w roku poprzednim. </w:t>
      </w:r>
    </w:p>
    <w:p w14:paraId="4B6A4B0B" w14:textId="208B5A93" w:rsidR="00FC7DF6" w:rsidRPr="00525596" w:rsidRDefault="00FC7DF6" w:rsidP="00FC7DF6">
      <w:pPr>
        <w:jc w:val="both"/>
        <w:rPr>
          <w:rFonts w:ascii="Times New Roman" w:hAnsi="Times New Roman"/>
          <w:b/>
          <w:sz w:val="24"/>
          <w:szCs w:val="24"/>
        </w:rPr>
      </w:pPr>
      <w:r w:rsidRPr="00525596">
        <w:rPr>
          <w:rFonts w:ascii="Times New Roman" w:hAnsi="Times New Roman"/>
          <w:b/>
          <w:sz w:val="24"/>
          <w:szCs w:val="24"/>
        </w:rPr>
        <w:t>II.3. Struktura zobowiązań</w:t>
      </w:r>
    </w:p>
    <w:p w14:paraId="47CDB89E" w14:textId="77777777" w:rsidR="00FC7DF6" w:rsidRPr="00525596" w:rsidRDefault="00FC7DF6" w:rsidP="00FC7DF6">
      <w:pPr>
        <w:jc w:val="both"/>
        <w:rPr>
          <w:rFonts w:ascii="Times New Roman" w:hAnsi="Times New Roman"/>
        </w:rPr>
      </w:pPr>
    </w:p>
    <w:p w14:paraId="311A7887" w14:textId="046AE333" w:rsidR="00525596" w:rsidRPr="00621543" w:rsidRDefault="00FC7DF6" w:rsidP="009824F6">
      <w:pPr>
        <w:pStyle w:val="Standard"/>
        <w:spacing w:after="240" w:line="360" w:lineRule="auto"/>
        <w:jc w:val="both"/>
        <w:rPr>
          <w:color w:val="000000" w:themeColor="text1"/>
        </w:rPr>
      </w:pPr>
      <w:r w:rsidRPr="00525596">
        <w:rPr>
          <w:i/>
        </w:rPr>
        <w:t>Zobowiązania długoterminowe</w:t>
      </w:r>
      <w:r w:rsidRPr="00525596">
        <w:t xml:space="preserve"> na dzień 31.12.20</w:t>
      </w:r>
      <w:r w:rsidR="000A0E11" w:rsidRPr="00525596">
        <w:t>2</w:t>
      </w:r>
      <w:r w:rsidR="00525596" w:rsidRPr="00525596">
        <w:t>4</w:t>
      </w:r>
      <w:r w:rsidRPr="00525596">
        <w:t xml:space="preserve"> roku </w:t>
      </w:r>
      <w:r w:rsidR="00525596" w:rsidRPr="00525596">
        <w:t xml:space="preserve">wynoszą </w:t>
      </w:r>
      <w:r w:rsidR="00525596">
        <w:rPr>
          <w:color w:val="000000" w:themeColor="text1"/>
        </w:rPr>
        <w:t>3 531 428,65</w:t>
      </w:r>
      <w:r w:rsidR="00525596" w:rsidRPr="00621543">
        <w:rPr>
          <w:color w:val="000000" w:themeColor="text1"/>
        </w:rPr>
        <w:t xml:space="preserve"> zł i stanowią</w:t>
      </w:r>
      <w:r w:rsidR="00525596" w:rsidRPr="00621543">
        <w:rPr>
          <w:color w:val="000000" w:themeColor="text1"/>
        </w:rPr>
        <w:br/>
        <w:t>zobowiązania z tytułu kredytów i pożyczek.</w:t>
      </w:r>
    </w:p>
    <w:p w14:paraId="6B190BF8" w14:textId="02416C3E" w:rsidR="00FC7DF6" w:rsidRPr="00525596" w:rsidRDefault="00FC7DF6" w:rsidP="009535FB">
      <w:pPr>
        <w:pStyle w:val="Standard"/>
        <w:spacing w:after="240" w:line="360" w:lineRule="auto"/>
        <w:jc w:val="both"/>
      </w:pPr>
      <w:r w:rsidRPr="00525596">
        <w:rPr>
          <w:i/>
        </w:rPr>
        <w:t>Zobowiązania krótkoterminowe</w:t>
      </w:r>
      <w:r w:rsidRPr="00525596">
        <w:t xml:space="preserve"> na dzień 31.12.20</w:t>
      </w:r>
      <w:r w:rsidR="00611596" w:rsidRPr="00525596">
        <w:t>2</w:t>
      </w:r>
      <w:r w:rsidR="00525596" w:rsidRPr="00525596">
        <w:t>4</w:t>
      </w:r>
      <w:r w:rsidRPr="00525596">
        <w:t xml:space="preserve"> roku wynoszą </w:t>
      </w:r>
      <w:r w:rsidR="00525596" w:rsidRPr="00525596">
        <w:t>27 694 050,46</w:t>
      </w:r>
      <w:r w:rsidRPr="00525596">
        <w:t xml:space="preserve"> zł. </w:t>
      </w:r>
      <w:r w:rsidR="009535FB" w:rsidRPr="00525596">
        <w:br/>
      </w:r>
      <w:r w:rsidRPr="00525596">
        <w:t>Ich struktura przedstawia się następująco:</w:t>
      </w:r>
    </w:p>
    <w:tbl>
      <w:tblPr>
        <w:tblW w:w="906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2079"/>
        <w:gridCol w:w="2079"/>
        <w:gridCol w:w="2079"/>
      </w:tblGrid>
      <w:tr w:rsidR="001E312A" w:rsidRPr="001E312A" w14:paraId="19EC1E8D" w14:textId="77777777" w:rsidTr="00E047B4">
        <w:trPr>
          <w:trHeight w:val="276"/>
        </w:trPr>
        <w:tc>
          <w:tcPr>
            <w:tcW w:w="2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24F3" w14:textId="77777777" w:rsidR="00FC7DF6" w:rsidRPr="00525596" w:rsidRDefault="00FC7DF6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>Tytuł zobowiązania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F61DC" w14:textId="5DB22E55" w:rsidR="00FC7DF6" w:rsidRPr="00525596" w:rsidRDefault="00621543" w:rsidP="00D821A3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>202</w:t>
            </w:r>
            <w:r w:rsidR="00525596" w:rsidRPr="00525596">
              <w:rPr>
                <w:b/>
                <w:i/>
                <w:sz w:val="22"/>
                <w:szCs w:val="22"/>
              </w:rPr>
              <w:t>3</w:t>
            </w:r>
            <w:r w:rsidRPr="00525596">
              <w:rPr>
                <w:b/>
                <w:i/>
                <w:sz w:val="22"/>
                <w:szCs w:val="22"/>
              </w:rPr>
              <w:t xml:space="preserve">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F7C3" w14:textId="338A875B" w:rsidR="00FC7DF6" w:rsidRPr="00525596" w:rsidRDefault="00FC7DF6" w:rsidP="00D821A3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>20</w:t>
            </w:r>
            <w:r w:rsidR="00611596" w:rsidRPr="00525596">
              <w:rPr>
                <w:b/>
                <w:i/>
                <w:sz w:val="22"/>
                <w:szCs w:val="22"/>
              </w:rPr>
              <w:t>2</w:t>
            </w:r>
            <w:r w:rsidR="00525596" w:rsidRPr="00525596">
              <w:rPr>
                <w:b/>
                <w:i/>
                <w:sz w:val="22"/>
                <w:szCs w:val="22"/>
              </w:rPr>
              <w:t>4</w:t>
            </w:r>
            <w:r w:rsidRPr="00525596">
              <w:rPr>
                <w:b/>
                <w:i/>
                <w:sz w:val="22"/>
                <w:szCs w:val="22"/>
              </w:rPr>
              <w:t xml:space="preserve"> rok</w:t>
            </w:r>
          </w:p>
        </w:tc>
        <w:tc>
          <w:tcPr>
            <w:tcW w:w="20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A838" w14:textId="3066641D" w:rsidR="00FC7DF6" w:rsidRPr="001E312A" w:rsidRDefault="00FC7DF6" w:rsidP="00D821A3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 xml:space="preserve">Udział % </w:t>
            </w:r>
            <w:r w:rsidRPr="00525596">
              <w:rPr>
                <w:b/>
                <w:i/>
                <w:sz w:val="22"/>
                <w:szCs w:val="22"/>
              </w:rPr>
              <w:br/>
              <w:t>w zobowiązaniach ogółem 20</w:t>
            </w:r>
            <w:r w:rsidR="00611596" w:rsidRPr="00525596">
              <w:rPr>
                <w:b/>
                <w:i/>
                <w:sz w:val="22"/>
                <w:szCs w:val="22"/>
              </w:rPr>
              <w:t>2</w:t>
            </w:r>
            <w:r w:rsidR="00525596" w:rsidRPr="00525596">
              <w:rPr>
                <w:b/>
                <w:i/>
                <w:sz w:val="22"/>
                <w:szCs w:val="22"/>
              </w:rPr>
              <w:t>4</w:t>
            </w:r>
            <w:r w:rsidRPr="00525596">
              <w:rPr>
                <w:b/>
                <w:i/>
                <w:sz w:val="22"/>
                <w:szCs w:val="22"/>
              </w:rPr>
              <w:t xml:space="preserve"> roku</w:t>
            </w:r>
          </w:p>
        </w:tc>
      </w:tr>
      <w:tr w:rsidR="001E312A" w:rsidRPr="001E312A" w14:paraId="61B6541C" w14:textId="77777777" w:rsidTr="00E047B4">
        <w:trPr>
          <w:trHeight w:val="276"/>
        </w:trPr>
        <w:tc>
          <w:tcPr>
            <w:tcW w:w="28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BAAA" w14:textId="77777777" w:rsidR="00621543" w:rsidRPr="00525596" w:rsidRDefault="00621543" w:rsidP="00621543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1C6C4" w14:textId="4D2AAC87" w:rsidR="00621543" w:rsidRPr="00525596" w:rsidRDefault="00621543" w:rsidP="00621543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>Kwota w zł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1579" w14:textId="77777777" w:rsidR="00621543" w:rsidRPr="00525596" w:rsidRDefault="00621543" w:rsidP="00621543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i/>
                <w:sz w:val="22"/>
                <w:szCs w:val="22"/>
              </w:rPr>
              <w:t>Kwota w zł</w:t>
            </w:r>
          </w:p>
        </w:tc>
        <w:tc>
          <w:tcPr>
            <w:tcW w:w="20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90FF" w14:textId="77777777" w:rsidR="00621543" w:rsidRPr="001E312A" w:rsidRDefault="00621543" w:rsidP="00621543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25596" w:rsidRPr="001E312A" w14:paraId="25129E43" w14:textId="77777777" w:rsidTr="00E047B4">
        <w:trPr>
          <w:trHeight w:val="263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AF55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Kredyty i pożyczki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41EB3" w14:textId="25D77EFB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4 956 858,50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BC87" w14:textId="799CE409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5 085 487,60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587E" w14:textId="4645CC0B" w:rsidR="00525596" w:rsidRPr="009824F6" w:rsidRDefault="009824F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18,36</w:t>
            </w:r>
            <w:r w:rsidR="00525596"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43710D04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2490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Dostawy i usługi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D994F" w14:textId="572F268B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6 634 438,64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1BE0" w14:textId="4573806C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11 162 837,29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58B7" w14:textId="26280048" w:rsidR="00525596" w:rsidRPr="009824F6" w:rsidRDefault="009824F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40,31</w:t>
            </w:r>
            <w:r w:rsidR="00525596"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0DDAE67C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368E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Podatki i ubezpieczenia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2D934" w14:textId="46E687A6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3 563 727,18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5DC8" w14:textId="27C2D3BA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4 124 718,26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9CD8" w14:textId="1084B38D" w:rsidR="00525596" w:rsidRPr="009824F6" w:rsidRDefault="009824F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14,89</w:t>
            </w:r>
            <w:r w:rsidR="00525596"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60F2EA6D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D89F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Wynagrodzenia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B20BB" w14:textId="14EECD64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5 302 068,70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7F06" w14:textId="5D0120B9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6 298 969,80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E1E5" w14:textId="22B1AF16" w:rsidR="00525596" w:rsidRPr="009824F6" w:rsidRDefault="009824F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22,75</w:t>
            </w:r>
            <w:r w:rsidR="00525596"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4ADB016B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4870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Inne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FDFA8" w14:textId="284A1FE4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965 836,27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0A40" w14:textId="16EAE18B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845 278,23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E10A" w14:textId="0A3DA093" w:rsidR="00525596" w:rsidRPr="009824F6" w:rsidRDefault="009824F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3,05</w:t>
            </w:r>
            <w:r w:rsidR="00525596"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15B20E30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35F8" w14:textId="77777777" w:rsidR="00525596" w:rsidRPr="00525596" w:rsidRDefault="00525596" w:rsidP="00525596">
            <w:pPr>
              <w:pStyle w:val="Standard"/>
              <w:jc w:val="both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Fundusze specjalne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D4B99" w14:textId="3EB627E6" w:rsidR="00525596" w:rsidRPr="00525596" w:rsidRDefault="00525596" w:rsidP="00525596">
            <w:pPr>
              <w:pStyle w:val="Standard"/>
              <w:ind w:right="128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114 330,91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2AFD" w14:textId="511CD7CC" w:rsidR="00525596" w:rsidRPr="0052559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176 759,28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EFE0" w14:textId="29BE7210" w:rsidR="00525596" w:rsidRPr="009824F6" w:rsidRDefault="00525596" w:rsidP="00525596">
            <w:pPr>
              <w:pStyle w:val="Standard"/>
              <w:jc w:val="right"/>
              <w:rPr>
                <w:sz w:val="22"/>
                <w:szCs w:val="22"/>
              </w:rPr>
            </w:pPr>
            <w:r w:rsidRPr="009824F6">
              <w:rPr>
                <w:i/>
                <w:iCs/>
                <w:sz w:val="22"/>
                <w:szCs w:val="22"/>
              </w:rPr>
              <w:t>0,</w:t>
            </w:r>
            <w:r w:rsidR="009824F6" w:rsidRPr="009824F6">
              <w:rPr>
                <w:i/>
                <w:iCs/>
                <w:sz w:val="22"/>
                <w:szCs w:val="22"/>
              </w:rPr>
              <w:t>64</w:t>
            </w:r>
            <w:r w:rsidRPr="009824F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525596" w:rsidRPr="001E312A" w14:paraId="33A58224" w14:textId="77777777" w:rsidTr="00E047B4">
        <w:trPr>
          <w:trHeight w:val="276"/>
        </w:trPr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7088D" w14:textId="77777777" w:rsidR="00525596" w:rsidRPr="00525596" w:rsidRDefault="00525596" w:rsidP="0052559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sz w:val="22"/>
                <w:szCs w:val="22"/>
              </w:rPr>
              <w:t xml:space="preserve">ZOBOWIĄZANIA KRÓTKOTERMINOWE OGÓŁEM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FEB82" w14:textId="6D2573A0" w:rsidR="00525596" w:rsidRPr="00525596" w:rsidRDefault="00525596" w:rsidP="00525596">
            <w:pPr>
              <w:pStyle w:val="Standard"/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sz w:val="22"/>
                <w:szCs w:val="22"/>
              </w:rPr>
              <w:t>21 537 260,20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AC800" w14:textId="137B45B9" w:rsidR="00525596" w:rsidRPr="00525596" w:rsidRDefault="009824F6" w:rsidP="00525596">
            <w:pPr>
              <w:pStyle w:val="Standard"/>
              <w:ind w:right="13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27 694 050,46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75F73" w14:textId="77777777" w:rsidR="00525596" w:rsidRPr="001E312A" w:rsidRDefault="00525596" w:rsidP="00525596">
            <w:pPr>
              <w:pStyle w:val="Standard"/>
              <w:ind w:right="128"/>
              <w:jc w:val="right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100 %</w:t>
            </w:r>
          </w:p>
        </w:tc>
      </w:tr>
    </w:tbl>
    <w:p w14:paraId="64375EB1" w14:textId="00463B4E" w:rsidR="00525596" w:rsidRPr="004C524F" w:rsidRDefault="00FC7DF6" w:rsidP="009535FB">
      <w:pPr>
        <w:pStyle w:val="Standard"/>
        <w:spacing w:before="240" w:after="240" w:line="360" w:lineRule="auto"/>
        <w:jc w:val="both"/>
      </w:pPr>
      <w:r w:rsidRPr="009824F6">
        <w:t>Największą wartość zobowiązań w 20</w:t>
      </w:r>
      <w:r w:rsidR="00611596" w:rsidRPr="009824F6">
        <w:t>2</w:t>
      </w:r>
      <w:r w:rsidR="00525596" w:rsidRPr="009824F6">
        <w:t>4</w:t>
      </w:r>
      <w:r w:rsidRPr="009824F6">
        <w:t xml:space="preserve"> roku stanowią zobowiązania </w:t>
      </w:r>
      <w:r w:rsidRPr="009824F6">
        <w:rPr>
          <w:bCs/>
        </w:rPr>
        <w:t xml:space="preserve">z tytułu dostaw </w:t>
      </w:r>
      <w:r w:rsidRPr="009824F6">
        <w:rPr>
          <w:bCs/>
        </w:rPr>
        <w:br/>
        <w:t>i usług, t</w:t>
      </w:r>
      <w:r w:rsidRPr="009824F6">
        <w:t xml:space="preserve">j. </w:t>
      </w:r>
      <w:r w:rsidR="009824F6" w:rsidRPr="009824F6">
        <w:t>40,31</w:t>
      </w:r>
      <w:r w:rsidRPr="009824F6">
        <w:t xml:space="preserve"> %. W porównaniu do roku poprzedniego </w:t>
      </w:r>
      <w:r w:rsidR="00C62BFA" w:rsidRPr="009824F6">
        <w:t xml:space="preserve">odnotowano </w:t>
      </w:r>
      <w:r w:rsidR="009824F6" w:rsidRPr="009824F6">
        <w:t>wzrost</w:t>
      </w:r>
      <w:r w:rsidR="00C62BFA" w:rsidRPr="009824F6">
        <w:t xml:space="preserve"> </w:t>
      </w:r>
      <w:r w:rsidR="00E50317" w:rsidRPr="009824F6">
        <w:t>z</w:t>
      </w:r>
      <w:r w:rsidRPr="009824F6">
        <w:t>obowiąza</w:t>
      </w:r>
      <w:r w:rsidR="00C62BFA" w:rsidRPr="009824F6">
        <w:t>ń</w:t>
      </w:r>
      <w:r w:rsidRPr="009824F6">
        <w:t xml:space="preserve"> </w:t>
      </w:r>
      <w:r w:rsidR="00C62BFA" w:rsidRPr="009824F6">
        <w:br/>
      </w:r>
      <w:r w:rsidRPr="009824F6">
        <w:t xml:space="preserve">z </w:t>
      </w:r>
      <w:r w:rsidR="009824F6" w:rsidRPr="009824F6">
        <w:t>6,6</w:t>
      </w:r>
      <w:r w:rsidRPr="009824F6">
        <w:t xml:space="preserve"> mln złotych do </w:t>
      </w:r>
      <w:r w:rsidR="009824F6" w:rsidRPr="009824F6">
        <w:t>11,2</w:t>
      </w:r>
      <w:r w:rsidRPr="009824F6">
        <w:t xml:space="preserve"> mln złotych, tj. o </w:t>
      </w:r>
      <w:r w:rsidR="009824F6" w:rsidRPr="009824F6">
        <w:t>68,26</w:t>
      </w:r>
      <w:r w:rsidRPr="009824F6">
        <w:t xml:space="preserve"> %. Zgodnie ze sprawozdaniem kwartalnym </w:t>
      </w:r>
      <w:r w:rsidR="000F0BEF" w:rsidRPr="009824F6">
        <w:br/>
      </w:r>
      <w:r w:rsidRPr="009824F6">
        <w:t>Rb-Z o stanie zobowiązań</w:t>
      </w:r>
      <w:r w:rsidR="00E50317" w:rsidRPr="009824F6">
        <w:t xml:space="preserve"> </w:t>
      </w:r>
      <w:r w:rsidRPr="009824F6">
        <w:t>za IV kwartał 20</w:t>
      </w:r>
      <w:r w:rsidR="0098001A" w:rsidRPr="009824F6">
        <w:t>2</w:t>
      </w:r>
      <w:r w:rsidR="00525596" w:rsidRPr="009824F6">
        <w:t>4</w:t>
      </w:r>
      <w:r w:rsidRPr="009824F6">
        <w:t xml:space="preserve"> roku </w:t>
      </w:r>
      <w:r w:rsidR="009824F6" w:rsidRPr="009824F6">
        <w:t>57,75</w:t>
      </w:r>
      <w:r w:rsidRPr="009824F6">
        <w:t xml:space="preserve"> % bilansowych zobowiązań z tytułu dostaw i usług oraz </w:t>
      </w:r>
      <w:r w:rsidR="009824F6" w:rsidRPr="009824F6">
        <w:t>23,28</w:t>
      </w:r>
      <w:r w:rsidRPr="009824F6">
        <w:t xml:space="preserve"> % zobowiązań krótkoterminowych</w:t>
      </w:r>
      <w:r w:rsidRPr="009824F6">
        <w:rPr>
          <w:i/>
        </w:rPr>
        <w:t xml:space="preserve"> </w:t>
      </w:r>
      <w:r w:rsidRPr="009824F6">
        <w:t>stanowią</w:t>
      </w:r>
      <w:r w:rsidRPr="009824F6">
        <w:rPr>
          <w:i/>
        </w:rPr>
        <w:t xml:space="preserve"> zobowiązania </w:t>
      </w:r>
      <w:r w:rsidRPr="004C524F">
        <w:rPr>
          <w:i/>
        </w:rPr>
        <w:lastRenderedPageBreak/>
        <w:t>wymagalne,</w:t>
      </w:r>
      <w:r w:rsidRPr="004C524F">
        <w:t xml:space="preserve"> wynoszące </w:t>
      </w:r>
      <w:r w:rsidR="009824F6" w:rsidRPr="004C524F">
        <w:t>6 446 416,51</w:t>
      </w:r>
      <w:r w:rsidR="007E3605" w:rsidRPr="004C524F">
        <w:t xml:space="preserve"> </w:t>
      </w:r>
      <w:r w:rsidRPr="004C524F">
        <w:t>zł</w:t>
      </w:r>
      <w:r w:rsidR="007E3605" w:rsidRPr="004C524F">
        <w:t>otych</w:t>
      </w:r>
      <w:r w:rsidRPr="004C524F">
        <w:t xml:space="preserve">. </w:t>
      </w:r>
    </w:p>
    <w:p w14:paraId="6F7E5DDE" w14:textId="5FDE0A20" w:rsidR="00FC7DF6" w:rsidRPr="00525596" w:rsidRDefault="00FC7DF6" w:rsidP="005F4E9E">
      <w:pPr>
        <w:pStyle w:val="Standard"/>
        <w:spacing w:before="240" w:line="360" w:lineRule="auto"/>
        <w:jc w:val="both"/>
      </w:pPr>
      <w:r w:rsidRPr="004C524F">
        <w:t>Poniżej przedstawiamy stan zobowiązań</w:t>
      </w:r>
      <w:r w:rsidR="007E3605" w:rsidRPr="004C524F">
        <w:t xml:space="preserve"> </w:t>
      </w:r>
      <w:r w:rsidRPr="004C524F">
        <w:t xml:space="preserve">wymagalnych, jaki kształtował się w poszczególnych kwartałach </w:t>
      </w:r>
      <w:r w:rsidR="00F1256F" w:rsidRPr="004C524F">
        <w:t>w latach 20</w:t>
      </w:r>
      <w:r w:rsidR="00C62BFA" w:rsidRPr="004C524F">
        <w:t>2</w:t>
      </w:r>
      <w:r w:rsidR="00525596" w:rsidRPr="004C524F">
        <w:t>2</w:t>
      </w:r>
      <w:r w:rsidR="00F1256F" w:rsidRPr="004C524F">
        <w:t xml:space="preserve"> </w:t>
      </w:r>
      <w:r w:rsidR="00FE444D" w:rsidRPr="004C524F">
        <w:rPr>
          <w:b/>
          <w:i/>
        </w:rPr>
        <w:t>–</w:t>
      </w:r>
      <w:r w:rsidR="00F1256F" w:rsidRPr="004C524F">
        <w:t xml:space="preserve"> </w:t>
      </w:r>
      <w:r w:rsidRPr="004C524F">
        <w:t>20</w:t>
      </w:r>
      <w:r w:rsidR="0098001A" w:rsidRPr="004C524F">
        <w:t>2</w:t>
      </w:r>
      <w:r w:rsidR="00525596" w:rsidRPr="004C524F">
        <w:t>4</w:t>
      </w:r>
      <w:r w:rsidRPr="00525596">
        <w:t>.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1"/>
        <w:gridCol w:w="1776"/>
        <w:gridCol w:w="1777"/>
        <w:gridCol w:w="1776"/>
        <w:gridCol w:w="1777"/>
      </w:tblGrid>
      <w:tr w:rsidR="00525596" w:rsidRPr="001E312A" w14:paraId="48787489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54C7" w14:textId="0DF66424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Wyszczególnienie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1FB8" w14:textId="1959AC63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 kwartał 2022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D658" w14:textId="20371554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II kwartał 2022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DB96" w14:textId="7C39F64D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III kwartał 2022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FFBA" w14:textId="56AAF06B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IV kwartał 2022</w:t>
            </w:r>
          </w:p>
        </w:tc>
      </w:tr>
      <w:tr w:rsidR="00525596" w:rsidRPr="001E312A" w14:paraId="47A831B0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103D" w14:textId="30DA6166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sz w:val="22"/>
                <w:szCs w:val="22"/>
              </w:rPr>
              <w:t>Zobowiązania wymagalne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AA42" w14:textId="76D609DE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3 092 790,46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855D" w14:textId="0C45710E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3 331 683,56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FD07" w14:textId="5F0ECCAC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3 798 029,67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D0E2" w14:textId="55CED13A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3 652 896,48</w:t>
            </w:r>
          </w:p>
        </w:tc>
      </w:tr>
      <w:tr w:rsidR="00525596" w:rsidRPr="001E312A" w14:paraId="5C38C995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7B69" w14:textId="48376929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Wyszczególnienie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6D38" w14:textId="7A3D89BD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 kwartał 2023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E3C6" w14:textId="25DA188A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II kwartał 2023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E205" w14:textId="3AEC29CB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III kwartał 2023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B168" w14:textId="110C2B6A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IV kwartał 2023</w:t>
            </w:r>
          </w:p>
        </w:tc>
      </w:tr>
      <w:tr w:rsidR="00525596" w:rsidRPr="001E312A" w14:paraId="79833E07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E863" w14:textId="5C121EB0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sz w:val="22"/>
                <w:szCs w:val="22"/>
              </w:rPr>
              <w:t>Zobowiązania wymagalne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E359" w14:textId="1AEA2CBE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3 899 391,84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AED1" w14:textId="24C34772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4 230 184,81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478A" w14:textId="7298B2C2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3 782 062,71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5B24" w14:textId="670EAE37" w:rsidR="00525596" w:rsidRPr="00525596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525596">
              <w:rPr>
                <w:sz w:val="22"/>
                <w:szCs w:val="22"/>
              </w:rPr>
              <w:t>3 123 236,99</w:t>
            </w:r>
          </w:p>
        </w:tc>
      </w:tr>
      <w:tr w:rsidR="00525596" w:rsidRPr="001E312A" w14:paraId="4A44C90E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A2C3" w14:textId="385D08D8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i/>
                <w:iCs/>
                <w:sz w:val="22"/>
                <w:szCs w:val="22"/>
              </w:rPr>
              <w:t>Wyszczególnienie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0688" w14:textId="1223B31F" w:rsidR="00525596" w:rsidRPr="00C94C69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b/>
                <w:bCs/>
                <w:i/>
                <w:iCs/>
                <w:sz w:val="22"/>
                <w:szCs w:val="22"/>
              </w:rPr>
              <w:t>I kwartał 2024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5444" w14:textId="2C9A45F8" w:rsidR="00525596" w:rsidRPr="00C94C69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b/>
                <w:bCs/>
                <w:i/>
                <w:iCs/>
                <w:sz w:val="22"/>
                <w:szCs w:val="22"/>
              </w:rPr>
              <w:t>II kwartał 2024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8BC6" w14:textId="49B1969B" w:rsidR="00525596" w:rsidRPr="00C94C69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b/>
                <w:bCs/>
                <w:i/>
                <w:iCs/>
                <w:sz w:val="22"/>
                <w:szCs w:val="22"/>
              </w:rPr>
              <w:t>III kwartał 2024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E0F4" w14:textId="3407D0D7" w:rsidR="00525596" w:rsidRPr="00C94C69" w:rsidRDefault="0052559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b/>
                <w:bCs/>
                <w:i/>
                <w:iCs/>
                <w:sz w:val="22"/>
                <w:szCs w:val="22"/>
              </w:rPr>
              <w:t>IV kwartał 2024</w:t>
            </w:r>
          </w:p>
        </w:tc>
      </w:tr>
      <w:tr w:rsidR="00525596" w:rsidRPr="001E312A" w14:paraId="70DFBF19" w14:textId="77777777" w:rsidTr="00E047B4">
        <w:trPr>
          <w:trHeight w:val="65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7B52" w14:textId="5527A194" w:rsidR="00525596" w:rsidRPr="00525596" w:rsidRDefault="00525596" w:rsidP="00525596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25596">
              <w:rPr>
                <w:b/>
                <w:bCs/>
                <w:sz w:val="22"/>
                <w:szCs w:val="22"/>
              </w:rPr>
              <w:t>Zobowiązania wymagalne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E8F6" w14:textId="7F8AE585" w:rsidR="00525596" w:rsidRPr="00C94C69" w:rsidRDefault="00C94C69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sz w:val="22"/>
                <w:szCs w:val="22"/>
              </w:rPr>
              <w:t>3 572 369,89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D59F" w14:textId="17055255" w:rsidR="00525596" w:rsidRPr="00C94C69" w:rsidRDefault="00C94C69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sz w:val="22"/>
                <w:szCs w:val="22"/>
              </w:rPr>
              <w:t>4 807 006,14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0DB4" w14:textId="4FBB0136" w:rsidR="00525596" w:rsidRPr="00C94C69" w:rsidRDefault="00C94C69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rPr>
                <w:sz w:val="22"/>
                <w:szCs w:val="22"/>
              </w:rPr>
              <w:t>4 399 535,99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7D2B" w14:textId="7B17015A" w:rsidR="00525596" w:rsidRPr="00C94C69" w:rsidRDefault="009824F6" w:rsidP="00525596">
            <w:pPr>
              <w:pStyle w:val="Standard"/>
              <w:jc w:val="center"/>
              <w:rPr>
                <w:sz w:val="22"/>
                <w:szCs w:val="22"/>
              </w:rPr>
            </w:pPr>
            <w:r w:rsidRPr="00C94C69">
              <w:t>6 446 416,51</w:t>
            </w:r>
          </w:p>
        </w:tc>
      </w:tr>
    </w:tbl>
    <w:p w14:paraId="0168009C" w14:textId="2866CB36" w:rsidR="00FC7DF6" w:rsidRPr="000D42E0" w:rsidRDefault="00FC7DF6" w:rsidP="00FC7DF6">
      <w:pPr>
        <w:pStyle w:val="Standard"/>
        <w:spacing w:before="240" w:line="360" w:lineRule="auto"/>
        <w:jc w:val="both"/>
      </w:pPr>
      <w:r w:rsidRPr="000D42E0">
        <w:t xml:space="preserve">Zobowiązania </w:t>
      </w:r>
      <w:r w:rsidRPr="000D42E0">
        <w:rPr>
          <w:bCs/>
        </w:rPr>
        <w:t xml:space="preserve">z tytułu wynagrodzeń stanowią </w:t>
      </w:r>
      <w:r w:rsidR="00C94C69" w:rsidRPr="000D42E0">
        <w:rPr>
          <w:bCs/>
        </w:rPr>
        <w:t>22,75</w:t>
      </w:r>
      <w:r w:rsidRPr="000D42E0">
        <w:rPr>
          <w:bCs/>
        </w:rPr>
        <w:t xml:space="preserve"> % zobowiązań krótkoterminowych, </w:t>
      </w:r>
      <w:r w:rsidRPr="000D42E0">
        <w:rPr>
          <w:bCs/>
        </w:rPr>
        <w:br/>
        <w:t>a łącznie ze zobowiązaniami z tytułu podatków i ubezpieczeń, którymi</w:t>
      </w:r>
      <w:r w:rsidRPr="000D42E0">
        <w:t xml:space="preserve"> w głównej mierze </w:t>
      </w:r>
      <w:r w:rsidRPr="000D42E0">
        <w:br/>
        <w:t xml:space="preserve">są pochodne od wynagrodzeń, zobowiązania z tytułu ponoszonych kosztów pracy stanowią </w:t>
      </w:r>
      <w:r w:rsidR="00C94C69" w:rsidRPr="000D42E0">
        <w:t>37,64</w:t>
      </w:r>
      <w:r w:rsidRPr="000D42E0">
        <w:t xml:space="preserve"> % wszystkich zobowiązań krótkoterminowych. W całości są to zobowiązania nie przekraczające terminu wymagalności.</w:t>
      </w:r>
    </w:p>
    <w:p w14:paraId="0DEC10C7" w14:textId="5223C958" w:rsidR="00FC7DF6" w:rsidRPr="002C7586" w:rsidRDefault="00FC7DF6" w:rsidP="00FC7DF6">
      <w:pPr>
        <w:pStyle w:val="Standard"/>
        <w:spacing w:line="360" w:lineRule="auto"/>
        <w:jc w:val="both"/>
        <w:rPr>
          <w:bCs/>
        </w:rPr>
      </w:pPr>
      <w:r w:rsidRPr="002C7586">
        <w:t>Na dzień bilansowy 31.12.20</w:t>
      </w:r>
      <w:r w:rsidR="00F1256F" w:rsidRPr="002C7586">
        <w:t>2</w:t>
      </w:r>
      <w:r w:rsidR="00525596" w:rsidRPr="002C7586">
        <w:t>4</w:t>
      </w:r>
      <w:r w:rsidRPr="002C7586">
        <w:t xml:space="preserve"> roku jednostka wykazuje zobowiązania z tytułu </w:t>
      </w:r>
      <w:r w:rsidRPr="002C7586">
        <w:rPr>
          <w:bCs/>
        </w:rPr>
        <w:t xml:space="preserve">kredytów </w:t>
      </w:r>
      <w:r w:rsidRPr="002C7586">
        <w:rPr>
          <w:bCs/>
        </w:rPr>
        <w:br/>
        <w:t xml:space="preserve">i pożyczek w łącznej wysokości </w:t>
      </w:r>
      <w:r w:rsidR="002C7586" w:rsidRPr="002C7586">
        <w:rPr>
          <w:bCs/>
        </w:rPr>
        <w:t>8 616 916,25</w:t>
      </w:r>
      <w:r w:rsidRPr="002C7586">
        <w:rPr>
          <w:bCs/>
        </w:rPr>
        <w:t xml:space="preserve"> zł. Powyższa kwota dotyczy:</w:t>
      </w:r>
    </w:p>
    <w:p w14:paraId="2310AB48" w14:textId="01C784C1" w:rsidR="008474E7" w:rsidRPr="005643D7" w:rsidRDefault="008474E7" w:rsidP="00C26987">
      <w:pPr>
        <w:pStyle w:val="Standard"/>
        <w:widowControl/>
        <w:numPr>
          <w:ilvl w:val="0"/>
          <w:numId w:val="25"/>
        </w:numPr>
        <w:spacing w:line="360" w:lineRule="auto"/>
        <w:jc w:val="both"/>
      </w:pPr>
      <w:r w:rsidRPr="005643D7">
        <w:t xml:space="preserve">kredytu </w:t>
      </w:r>
      <w:r w:rsidR="005B14DB" w:rsidRPr="005643D7">
        <w:t xml:space="preserve">obrotowego </w:t>
      </w:r>
      <w:r w:rsidRPr="005643D7">
        <w:t xml:space="preserve">nieodnawialnego </w:t>
      </w:r>
      <w:r w:rsidR="005B14DB" w:rsidRPr="005643D7">
        <w:t xml:space="preserve">zaciągniętego z przeznaczeniem na </w:t>
      </w:r>
      <w:r w:rsidR="005643D7" w:rsidRPr="005643D7">
        <w:t xml:space="preserve">realizację roszczeń grupy zawodowej pielęgniarek wynikających z Porozumienia postrajkowego </w:t>
      </w:r>
      <w:r w:rsidR="005643D7" w:rsidRPr="005643D7">
        <w:br/>
        <w:t>z dnia 20.06.2015 roku</w:t>
      </w:r>
      <w:r w:rsidR="005B14DB" w:rsidRPr="005643D7">
        <w:t>. Termin spłaty kredytu przypada na dzień 3</w:t>
      </w:r>
      <w:r w:rsidR="005643D7" w:rsidRPr="005643D7">
        <w:t>0</w:t>
      </w:r>
      <w:r w:rsidR="005B14DB" w:rsidRPr="005643D7">
        <w:t xml:space="preserve"> </w:t>
      </w:r>
      <w:r w:rsidR="005643D7" w:rsidRPr="005643D7">
        <w:t>czerwca</w:t>
      </w:r>
      <w:r w:rsidR="005B14DB" w:rsidRPr="005643D7">
        <w:t xml:space="preserve"> 202</w:t>
      </w:r>
      <w:r w:rsidR="005643D7" w:rsidRPr="005643D7">
        <w:t>6</w:t>
      </w:r>
      <w:r w:rsidR="005B14DB" w:rsidRPr="005643D7">
        <w:t xml:space="preserve"> roku</w:t>
      </w:r>
      <w:r w:rsidR="0097417A" w:rsidRPr="005643D7">
        <w:t>;</w:t>
      </w:r>
    </w:p>
    <w:p w14:paraId="5C28735D" w14:textId="7E9E0A7C" w:rsidR="00FC7DF6" w:rsidRPr="000D42E0" w:rsidRDefault="00FC7DF6" w:rsidP="008474E7">
      <w:pPr>
        <w:pStyle w:val="Standard"/>
        <w:widowControl/>
        <w:numPr>
          <w:ilvl w:val="0"/>
          <w:numId w:val="25"/>
        </w:numPr>
        <w:spacing w:line="360" w:lineRule="auto"/>
        <w:jc w:val="both"/>
      </w:pPr>
      <w:r w:rsidRPr="000D42E0">
        <w:t xml:space="preserve">kredytu w rachunku bieżącym udzielonego z przeznaczeniem na finansowanie bieżących zobowiązań wynikających z wykonywanej działalności. </w:t>
      </w:r>
      <w:r w:rsidR="000D42E0" w:rsidRPr="000D42E0">
        <w:t>Przyznany przez bank limit zadłużenia to</w:t>
      </w:r>
      <w:r w:rsidRPr="000D42E0">
        <w:t xml:space="preserve"> kwo</w:t>
      </w:r>
      <w:r w:rsidR="000D42E0" w:rsidRPr="000D42E0">
        <w:t>ta</w:t>
      </w:r>
      <w:r w:rsidRPr="000D42E0">
        <w:t xml:space="preserve"> </w:t>
      </w:r>
      <w:r w:rsidR="008474E7" w:rsidRPr="000D42E0">
        <w:t>4</w:t>
      </w:r>
      <w:r w:rsidRPr="000D42E0">
        <w:t> 000 000,00 zł</w:t>
      </w:r>
      <w:r w:rsidR="000D42E0" w:rsidRPr="000D42E0">
        <w:t xml:space="preserve">. Kredyt </w:t>
      </w:r>
      <w:r w:rsidRPr="000D42E0">
        <w:t>postawiony do dyspozycji w okresie od 13.08.2019</w:t>
      </w:r>
      <w:r w:rsidR="00E80F5F" w:rsidRPr="000D42E0">
        <w:t xml:space="preserve"> </w:t>
      </w:r>
      <w:r w:rsidRPr="000D42E0">
        <w:t>r</w:t>
      </w:r>
      <w:r w:rsidR="00E80F5F" w:rsidRPr="000D42E0">
        <w:t>oku</w:t>
      </w:r>
      <w:r w:rsidRPr="000D42E0">
        <w:t xml:space="preserve"> do </w:t>
      </w:r>
      <w:r w:rsidR="000D42E0" w:rsidRPr="000D42E0">
        <w:t>31.03.2026</w:t>
      </w:r>
      <w:r w:rsidR="00E80F5F" w:rsidRPr="000D42E0">
        <w:t xml:space="preserve"> </w:t>
      </w:r>
      <w:r w:rsidRPr="000D42E0">
        <w:t>r</w:t>
      </w:r>
      <w:r w:rsidR="00E80F5F" w:rsidRPr="000D42E0">
        <w:t>oku</w:t>
      </w:r>
      <w:r w:rsidR="008474E7" w:rsidRPr="000D42E0">
        <w:t>;</w:t>
      </w:r>
    </w:p>
    <w:p w14:paraId="39A0C9C1" w14:textId="0B4994BA" w:rsidR="008474E7" w:rsidRPr="004C524F" w:rsidRDefault="008474E7" w:rsidP="00C26987">
      <w:pPr>
        <w:pStyle w:val="Standard"/>
        <w:widowControl/>
        <w:numPr>
          <w:ilvl w:val="0"/>
          <w:numId w:val="25"/>
        </w:numPr>
        <w:spacing w:after="200" w:line="360" w:lineRule="auto"/>
        <w:jc w:val="both"/>
      </w:pPr>
      <w:r w:rsidRPr="005643D7">
        <w:t xml:space="preserve">pożyczki </w:t>
      </w:r>
      <w:r w:rsidR="005B14DB" w:rsidRPr="005643D7">
        <w:t xml:space="preserve">długoterminowej nieoprocentowanej zaciągniętej na </w:t>
      </w:r>
      <w:r w:rsidR="005B14DB" w:rsidRPr="005643D7">
        <w:rPr>
          <w:bCs/>
        </w:rPr>
        <w:t xml:space="preserve">spłatę </w:t>
      </w:r>
      <w:r w:rsidR="000D42E0" w:rsidRPr="005643D7">
        <w:rPr>
          <w:bCs/>
        </w:rPr>
        <w:t>roszczeń uzupełniających za bezumowne korzystanie z grunt</w:t>
      </w:r>
      <w:r w:rsidR="00A8116B">
        <w:rPr>
          <w:bCs/>
        </w:rPr>
        <w:t>u</w:t>
      </w:r>
      <w:r w:rsidR="000D42E0" w:rsidRPr="005643D7">
        <w:rPr>
          <w:bCs/>
        </w:rPr>
        <w:t xml:space="preserve"> w związku z zawartą w dniu </w:t>
      </w:r>
      <w:r w:rsidR="005643D7" w:rsidRPr="005643D7">
        <w:rPr>
          <w:bCs/>
        </w:rPr>
        <w:br/>
      </w:r>
      <w:r w:rsidR="000D42E0" w:rsidRPr="005643D7">
        <w:rPr>
          <w:bCs/>
        </w:rPr>
        <w:t>17 października 2024 roku ugodą sądową z Rodziną Skarżyńskich przed Sądem Apelacyjnym w Białymstoku</w:t>
      </w:r>
      <w:r w:rsidR="005B14DB" w:rsidRPr="005643D7">
        <w:rPr>
          <w:bCs/>
        </w:rPr>
        <w:t>. Termin spłaty przypada na dzień 3</w:t>
      </w:r>
      <w:r w:rsidR="0097417A" w:rsidRPr="005643D7">
        <w:rPr>
          <w:bCs/>
        </w:rPr>
        <w:t>0</w:t>
      </w:r>
      <w:r w:rsidR="005B14DB" w:rsidRPr="005643D7">
        <w:rPr>
          <w:bCs/>
        </w:rPr>
        <w:t xml:space="preserve"> </w:t>
      </w:r>
      <w:r w:rsidR="005643D7" w:rsidRPr="005643D7">
        <w:rPr>
          <w:bCs/>
        </w:rPr>
        <w:t>września</w:t>
      </w:r>
      <w:r w:rsidR="005B14DB" w:rsidRPr="005643D7">
        <w:rPr>
          <w:bCs/>
        </w:rPr>
        <w:t xml:space="preserve"> 202</w:t>
      </w:r>
      <w:r w:rsidR="005643D7" w:rsidRPr="005643D7">
        <w:rPr>
          <w:bCs/>
        </w:rPr>
        <w:t>8</w:t>
      </w:r>
      <w:r w:rsidR="005B14DB" w:rsidRPr="005643D7">
        <w:rPr>
          <w:bCs/>
        </w:rPr>
        <w:t xml:space="preserve"> roku.</w:t>
      </w:r>
    </w:p>
    <w:p w14:paraId="2271018E" w14:textId="77777777" w:rsidR="004C524F" w:rsidRPr="005643D7" w:rsidRDefault="004C524F" w:rsidP="004C524F">
      <w:pPr>
        <w:pStyle w:val="Standard"/>
        <w:widowControl/>
        <w:spacing w:after="200" w:line="360" w:lineRule="auto"/>
        <w:ind w:left="360"/>
        <w:jc w:val="both"/>
      </w:pPr>
    </w:p>
    <w:p w14:paraId="77D72852" w14:textId="6129EA93" w:rsidR="00FC7DF6" w:rsidRPr="002C7586" w:rsidRDefault="00FC7DF6" w:rsidP="00441581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2C7586">
        <w:rPr>
          <w:rFonts w:ascii="Times New Roman" w:hAnsi="Times New Roman"/>
          <w:b/>
          <w:sz w:val="24"/>
          <w:szCs w:val="24"/>
        </w:rPr>
        <w:lastRenderedPageBreak/>
        <w:t>II.4. Struktura majątku</w:t>
      </w:r>
    </w:p>
    <w:p w14:paraId="7E07BF7F" w14:textId="37D6C6AE" w:rsidR="00FC7DF6" w:rsidRPr="002C7586" w:rsidRDefault="00BE5E1A" w:rsidP="00BE5815">
      <w:pPr>
        <w:pStyle w:val="Standard"/>
        <w:spacing w:line="360" w:lineRule="auto"/>
        <w:jc w:val="both"/>
      </w:pPr>
      <w:r w:rsidRPr="002C7586">
        <w:t>A</w:t>
      </w:r>
      <w:r w:rsidR="00FC7DF6" w:rsidRPr="002C7586">
        <w:t>ktywa trwałe w bilansie jednostki na dzień 31.12.20</w:t>
      </w:r>
      <w:r w:rsidR="00FB3095" w:rsidRPr="002C7586">
        <w:t>2</w:t>
      </w:r>
      <w:r w:rsidR="002C7586" w:rsidRPr="002C7586">
        <w:t>4</w:t>
      </w:r>
      <w:r w:rsidR="00FC7DF6" w:rsidRPr="002C7586">
        <w:t xml:space="preserve"> roku przedstawiają wartość </w:t>
      </w:r>
      <w:r w:rsidR="002C7586" w:rsidRPr="002C7586">
        <w:t>44 970 573,87</w:t>
      </w:r>
      <w:r w:rsidR="00FC7DF6" w:rsidRPr="002C7586">
        <w:t xml:space="preserve"> zł. W poniższej tabeli zaprezentowano strukturę aktywów trwałych: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2124"/>
        <w:gridCol w:w="2124"/>
      </w:tblGrid>
      <w:tr w:rsidR="001E312A" w:rsidRPr="001E312A" w14:paraId="6E5FED13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760F" w14:textId="77777777" w:rsidR="00FC7DF6" w:rsidRPr="002C7586" w:rsidRDefault="00FC7DF6" w:rsidP="00D821A3">
            <w:pPr>
              <w:pStyle w:val="Akapitzlist"/>
              <w:spacing w:after="0" w:line="240" w:lineRule="auto"/>
              <w:ind w:left="1080"/>
            </w:pPr>
            <w:r w:rsidRPr="002C7586">
              <w:rPr>
                <w:rFonts w:ascii="Times New Roman" w:hAnsi="Times New Roman"/>
                <w:b/>
                <w:i/>
                <w:sz w:val="24"/>
                <w:szCs w:val="24"/>
              </w:rPr>
              <w:t>Pozycja bilansu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C7EE" w14:textId="77777777" w:rsidR="00FC7DF6" w:rsidRPr="002C7586" w:rsidRDefault="00FC7DF6" w:rsidP="00D821A3">
            <w:pPr>
              <w:pStyle w:val="Standard"/>
              <w:jc w:val="center"/>
            </w:pPr>
            <w:r w:rsidRPr="002C7586">
              <w:rPr>
                <w:b/>
                <w:i/>
              </w:rPr>
              <w:t>Wartość w zł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F54A" w14:textId="77777777" w:rsidR="00FC7DF6" w:rsidRPr="000F66F3" w:rsidRDefault="00FC7DF6" w:rsidP="00D821A3">
            <w:pPr>
              <w:pStyle w:val="Standard"/>
              <w:jc w:val="center"/>
            </w:pPr>
            <w:r w:rsidRPr="000F66F3">
              <w:rPr>
                <w:b/>
                <w:i/>
              </w:rPr>
              <w:t>Udział %</w:t>
            </w:r>
          </w:p>
        </w:tc>
      </w:tr>
      <w:tr w:rsidR="001E312A" w:rsidRPr="001E312A" w14:paraId="51C67004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E1FF" w14:textId="24222339" w:rsidR="002F2A32" w:rsidRPr="002C7586" w:rsidRDefault="002F2A32" w:rsidP="00D821A3">
            <w:pPr>
              <w:pStyle w:val="Standard"/>
              <w:jc w:val="both"/>
            </w:pPr>
            <w:r w:rsidRPr="002C7586">
              <w:t>Wartości niematerialne i prawne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FD34" w14:textId="4569A9E4" w:rsidR="002F2A32" w:rsidRPr="002C7586" w:rsidRDefault="002C7586" w:rsidP="00D821A3">
            <w:pPr>
              <w:pStyle w:val="Standard"/>
              <w:jc w:val="right"/>
            </w:pPr>
            <w:r w:rsidRPr="002C7586">
              <w:t>148 603,24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A09C" w14:textId="31B142D9" w:rsidR="002F2A32" w:rsidRPr="000F66F3" w:rsidRDefault="002F2A32" w:rsidP="00D821A3">
            <w:pPr>
              <w:pStyle w:val="Standard"/>
              <w:jc w:val="right"/>
              <w:rPr>
                <w:i/>
              </w:rPr>
            </w:pPr>
            <w:r w:rsidRPr="000F66F3">
              <w:rPr>
                <w:i/>
              </w:rPr>
              <w:t>0,</w:t>
            </w:r>
            <w:r w:rsidR="000F66F3" w:rsidRPr="000F66F3">
              <w:rPr>
                <w:i/>
              </w:rPr>
              <w:t>33</w:t>
            </w:r>
            <w:r w:rsidRPr="000F66F3">
              <w:rPr>
                <w:i/>
              </w:rPr>
              <w:t xml:space="preserve"> %</w:t>
            </w:r>
          </w:p>
        </w:tc>
      </w:tr>
      <w:tr w:rsidR="001E312A" w:rsidRPr="001E312A" w14:paraId="2798CCBA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DFE5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Grunty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6E9" w14:textId="2D8BDA32" w:rsidR="00FC7DF6" w:rsidRPr="002C7586" w:rsidRDefault="002C7586" w:rsidP="00D821A3">
            <w:pPr>
              <w:pStyle w:val="Standard"/>
              <w:jc w:val="right"/>
            </w:pPr>
            <w:r w:rsidRPr="002C7586">
              <w:t>5 403 298,63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0FB8" w14:textId="7E6E525B" w:rsidR="00FC7DF6" w:rsidRPr="000F66F3" w:rsidRDefault="000F66F3" w:rsidP="00D821A3">
            <w:pPr>
              <w:pStyle w:val="Standard"/>
              <w:jc w:val="right"/>
            </w:pPr>
            <w:r w:rsidRPr="000F66F3">
              <w:rPr>
                <w:i/>
              </w:rPr>
              <w:t>12,02</w:t>
            </w:r>
            <w:r w:rsidR="00FC7DF6" w:rsidRPr="000F66F3">
              <w:rPr>
                <w:i/>
              </w:rPr>
              <w:t xml:space="preserve"> %</w:t>
            </w:r>
          </w:p>
        </w:tc>
      </w:tr>
      <w:tr w:rsidR="001E312A" w:rsidRPr="001E312A" w14:paraId="1E8D7D37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CEF8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Budynki, lokale i obiekty inżynierii lądowej</w:t>
            </w:r>
            <w:r w:rsidRPr="002C7586">
              <w:br/>
              <w:t>i wodnej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B9F1" w14:textId="48CC1BFC" w:rsidR="00FC7DF6" w:rsidRPr="002C7586" w:rsidRDefault="002C7586" w:rsidP="00D821A3">
            <w:pPr>
              <w:pStyle w:val="Standard"/>
              <w:jc w:val="right"/>
            </w:pPr>
            <w:r w:rsidRPr="002C7586">
              <w:t>31 687 003,43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0EB8" w14:textId="1827C7BA" w:rsidR="00FC7DF6" w:rsidRPr="000F66F3" w:rsidRDefault="000F66F3" w:rsidP="00D821A3">
            <w:pPr>
              <w:pStyle w:val="Standard"/>
              <w:jc w:val="right"/>
            </w:pPr>
            <w:r w:rsidRPr="000F66F3">
              <w:rPr>
                <w:i/>
              </w:rPr>
              <w:t>70,46</w:t>
            </w:r>
            <w:r w:rsidR="00FC7DF6" w:rsidRPr="000F66F3">
              <w:rPr>
                <w:i/>
              </w:rPr>
              <w:t xml:space="preserve"> %</w:t>
            </w:r>
          </w:p>
        </w:tc>
      </w:tr>
      <w:tr w:rsidR="001E312A" w:rsidRPr="001E312A" w14:paraId="32F2FEA2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6EB0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Urządzenia techniczne i maszyny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2942" w14:textId="3F234107" w:rsidR="00FC7DF6" w:rsidRPr="002C7586" w:rsidRDefault="002C7586" w:rsidP="00D821A3">
            <w:pPr>
              <w:pStyle w:val="Standard"/>
              <w:jc w:val="right"/>
            </w:pPr>
            <w:r w:rsidRPr="002C7586">
              <w:t>2 368 763,30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A237" w14:textId="67047733" w:rsidR="00FC7DF6" w:rsidRPr="000F66F3" w:rsidRDefault="000F66F3" w:rsidP="00D821A3">
            <w:pPr>
              <w:pStyle w:val="Standard"/>
              <w:jc w:val="right"/>
            </w:pPr>
            <w:r w:rsidRPr="000F66F3">
              <w:rPr>
                <w:i/>
              </w:rPr>
              <w:t>5,27</w:t>
            </w:r>
            <w:r w:rsidR="00FC7DF6" w:rsidRPr="000F66F3">
              <w:rPr>
                <w:i/>
              </w:rPr>
              <w:t xml:space="preserve"> %</w:t>
            </w:r>
          </w:p>
        </w:tc>
      </w:tr>
      <w:tr w:rsidR="001E312A" w:rsidRPr="001E312A" w14:paraId="3F3FB5A6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60FF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Środki transportu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EFCD" w14:textId="59C6D426" w:rsidR="00FC7DF6" w:rsidRPr="002C7586" w:rsidRDefault="002C7586" w:rsidP="00D821A3">
            <w:pPr>
              <w:pStyle w:val="Standard"/>
              <w:jc w:val="right"/>
            </w:pPr>
            <w:r w:rsidRPr="002C7586">
              <w:t>409 521,36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6B28" w14:textId="1E4C4F4B" w:rsidR="00FC7DF6" w:rsidRPr="000F66F3" w:rsidRDefault="000F66F3" w:rsidP="00D821A3">
            <w:pPr>
              <w:pStyle w:val="Standard"/>
              <w:jc w:val="right"/>
            </w:pPr>
            <w:r w:rsidRPr="000F66F3">
              <w:rPr>
                <w:i/>
              </w:rPr>
              <w:t>0,91</w:t>
            </w:r>
            <w:r w:rsidR="00FC7DF6" w:rsidRPr="000F66F3">
              <w:rPr>
                <w:i/>
              </w:rPr>
              <w:t xml:space="preserve"> %</w:t>
            </w:r>
          </w:p>
        </w:tc>
      </w:tr>
      <w:tr w:rsidR="001E312A" w:rsidRPr="001E312A" w14:paraId="510CE2C5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6C29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Inne środki trwałe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5FA" w14:textId="5900D332" w:rsidR="00FC7DF6" w:rsidRPr="002C7586" w:rsidRDefault="002C7586" w:rsidP="00D821A3">
            <w:pPr>
              <w:pStyle w:val="Standard"/>
              <w:jc w:val="right"/>
            </w:pPr>
            <w:r w:rsidRPr="002C7586">
              <w:t>4 732 247,41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D3CB" w14:textId="300965F9" w:rsidR="00FC7DF6" w:rsidRPr="000F66F3" w:rsidRDefault="00AC3157" w:rsidP="00D821A3">
            <w:pPr>
              <w:pStyle w:val="Standard"/>
              <w:jc w:val="right"/>
            </w:pPr>
            <w:r w:rsidRPr="000F66F3">
              <w:rPr>
                <w:i/>
              </w:rPr>
              <w:t>10,</w:t>
            </w:r>
            <w:r w:rsidR="000F66F3" w:rsidRPr="000F66F3">
              <w:rPr>
                <w:i/>
              </w:rPr>
              <w:t>52</w:t>
            </w:r>
            <w:r w:rsidR="00094A30" w:rsidRPr="000F66F3">
              <w:rPr>
                <w:i/>
              </w:rPr>
              <w:t xml:space="preserve"> </w:t>
            </w:r>
            <w:r w:rsidR="00FC7DF6" w:rsidRPr="000F66F3">
              <w:rPr>
                <w:i/>
              </w:rPr>
              <w:t>%</w:t>
            </w:r>
          </w:p>
        </w:tc>
      </w:tr>
      <w:tr w:rsidR="001E312A" w:rsidRPr="001E312A" w14:paraId="08895991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791A" w14:textId="77777777" w:rsidR="00FC7DF6" w:rsidRPr="002C7586" w:rsidRDefault="00FC7DF6" w:rsidP="00D821A3">
            <w:pPr>
              <w:pStyle w:val="Standard"/>
              <w:jc w:val="both"/>
            </w:pPr>
            <w:r w:rsidRPr="002C7586">
              <w:t>Środki trwałe w budowie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DCF9" w14:textId="79A042CE" w:rsidR="00FC7DF6" w:rsidRPr="002C7586" w:rsidRDefault="002C7586" w:rsidP="00D821A3">
            <w:pPr>
              <w:pStyle w:val="Standard"/>
              <w:jc w:val="right"/>
            </w:pPr>
            <w:r w:rsidRPr="002C7586">
              <w:t>221 136,50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001E" w14:textId="5DDD51CB" w:rsidR="00FC7DF6" w:rsidRPr="000F66F3" w:rsidRDefault="00AC3157" w:rsidP="00D821A3">
            <w:pPr>
              <w:pStyle w:val="Standard"/>
              <w:jc w:val="right"/>
            </w:pPr>
            <w:r w:rsidRPr="000F66F3">
              <w:rPr>
                <w:i/>
              </w:rPr>
              <w:t>0,</w:t>
            </w:r>
            <w:r w:rsidR="000F66F3" w:rsidRPr="000F66F3">
              <w:rPr>
                <w:i/>
              </w:rPr>
              <w:t>49</w:t>
            </w:r>
            <w:r w:rsidR="00FC7DF6" w:rsidRPr="000F66F3">
              <w:rPr>
                <w:i/>
              </w:rPr>
              <w:t xml:space="preserve"> %</w:t>
            </w:r>
          </w:p>
        </w:tc>
      </w:tr>
      <w:tr w:rsidR="001E312A" w:rsidRPr="001E312A" w14:paraId="52330D0F" w14:textId="77777777" w:rsidTr="00E047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BAEA" w14:textId="3AB3369C" w:rsidR="00FC7DF6" w:rsidRPr="002C7586" w:rsidRDefault="00FC7DF6" w:rsidP="00D821A3">
            <w:pPr>
              <w:pStyle w:val="Standard"/>
              <w:jc w:val="both"/>
            </w:pPr>
            <w:r w:rsidRPr="002C7586">
              <w:rPr>
                <w:b/>
              </w:rPr>
              <w:t>AKTYWA TRWAŁE RAZEM: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4F12" w14:textId="7232B970" w:rsidR="00FC7DF6" w:rsidRPr="002C7586" w:rsidRDefault="002C7586" w:rsidP="00D821A3">
            <w:pPr>
              <w:pStyle w:val="Standard"/>
              <w:jc w:val="right"/>
              <w:rPr>
                <w:b/>
                <w:bCs/>
              </w:rPr>
            </w:pPr>
            <w:r w:rsidRPr="002C7586">
              <w:rPr>
                <w:b/>
                <w:bCs/>
              </w:rPr>
              <w:t>44 970 573,87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1185" w14:textId="77777777" w:rsidR="00FC7DF6" w:rsidRPr="001E312A" w:rsidRDefault="00FC7DF6" w:rsidP="00D821A3">
            <w:pPr>
              <w:pStyle w:val="Standard"/>
              <w:jc w:val="right"/>
              <w:rPr>
                <w:b/>
                <w:bCs/>
                <w:i/>
                <w:color w:val="FF0000"/>
              </w:rPr>
            </w:pPr>
            <w:r w:rsidRPr="002C7586">
              <w:rPr>
                <w:b/>
                <w:bCs/>
                <w:i/>
              </w:rPr>
              <w:t>100 %</w:t>
            </w:r>
          </w:p>
        </w:tc>
      </w:tr>
    </w:tbl>
    <w:p w14:paraId="0B88C81A" w14:textId="0ED26202" w:rsidR="00FC7DF6" w:rsidRPr="001E312A" w:rsidRDefault="00FC7DF6" w:rsidP="00FC7DF6">
      <w:pPr>
        <w:pStyle w:val="Standard"/>
        <w:spacing w:before="240" w:line="360" w:lineRule="auto"/>
        <w:jc w:val="both"/>
        <w:rPr>
          <w:bCs/>
          <w:color w:val="FF0000"/>
        </w:rPr>
      </w:pPr>
      <w:r w:rsidRPr="000F66F3">
        <w:t>W trakcie roku obrotowego 20</w:t>
      </w:r>
      <w:r w:rsidR="0041549E" w:rsidRPr="000F66F3">
        <w:t>2</w:t>
      </w:r>
      <w:r w:rsidR="002C7586" w:rsidRPr="000F66F3">
        <w:t>4</w:t>
      </w:r>
      <w:r w:rsidRPr="000F66F3">
        <w:t xml:space="preserve">, </w:t>
      </w:r>
      <w:r w:rsidRPr="000F66F3">
        <w:rPr>
          <w:bCs/>
        </w:rPr>
        <w:t>wartość netto majątku trwałego z kwoty</w:t>
      </w:r>
      <w:r w:rsidR="00970959" w:rsidRPr="000F66F3">
        <w:rPr>
          <w:bCs/>
        </w:rPr>
        <w:t xml:space="preserve"> </w:t>
      </w:r>
      <w:r w:rsidR="000F66F3" w:rsidRPr="000F66F3">
        <w:rPr>
          <w:bCs/>
        </w:rPr>
        <w:t>46 857 296,08</w:t>
      </w:r>
      <w:r w:rsidRPr="000F66F3">
        <w:rPr>
          <w:bCs/>
        </w:rPr>
        <w:t xml:space="preserve"> zł </w:t>
      </w:r>
      <w:r w:rsidR="000C2224" w:rsidRPr="000F66F3">
        <w:rPr>
          <w:bCs/>
        </w:rPr>
        <w:t>zmniejszyła się</w:t>
      </w:r>
      <w:r w:rsidRPr="000F66F3">
        <w:rPr>
          <w:bCs/>
        </w:rPr>
        <w:t xml:space="preserve"> do kwoty </w:t>
      </w:r>
      <w:r w:rsidR="000F66F3" w:rsidRPr="000F66F3">
        <w:rPr>
          <w:bCs/>
        </w:rPr>
        <w:t>44 970 573,87</w:t>
      </w:r>
      <w:r w:rsidRPr="000F66F3">
        <w:rPr>
          <w:bCs/>
        </w:rPr>
        <w:t xml:space="preserve"> zł tj. o </w:t>
      </w:r>
      <w:r w:rsidR="000F66F3" w:rsidRPr="000F66F3">
        <w:rPr>
          <w:bCs/>
        </w:rPr>
        <w:t>1 886 722,21</w:t>
      </w:r>
      <w:r w:rsidRPr="000F66F3">
        <w:rPr>
          <w:bCs/>
        </w:rPr>
        <w:t xml:space="preserve"> zł</w:t>
      </w:r>
      <w:r w:rsidR="00AA1A30" w:rsidRPr="000F66F3">
        <w:rPr>
          <w:bCs/>
        </w:rPr>
        <w:t>.</w:t>
      </w:r>
      <w:r w:rsidR="00AA1A30" w:rsidRPr="001E312A">
        <w:rPr>
          <w:bCs/>
          <w:color w:val="FF0000"/>
        </w:rPr>
        <w:t xml:space="preserve"> </w:t>
      </w:r>
    </w:p>
    <w:p w14:paraId="19714425" w14:textId="38EB7B50" w:rsidR="00FC7DF6" w:rsidRPr="00B22660" w:rsidRDefault="00B22660" w:rsidP="0086693D">
      <w:pPr>
        <w:pStyle w:val="Standard"/>
        <w:spacing w:line="360" w:lineRule="auto"/>
        <w:jc w:val="both"/>
        <w:rPr>
          <w:rFonts w:cs="Times New Roman"/>
        </w:rPr>
      </w:pPr>
      <w:r w:rsidRPr="00B22660">
        <w:t>W</w:t>
      </w:r>
      <w:r w:rsidR="002F0663" w:rsidRPr="00B22660">
        <w:t xml:space="preserve"> 2024 roku</w:t>
      </w:r>
      <w:r w:rsidR="00FC7DF6" w:rsidRPr="00B22660">
        <w:t xml:space="preserve"> </w:t>
      </w:r>
      <w:r w:rsidRPr="00B22660">
        <w:t xml:space="preserve">zostały </w:t>
      </w:r>
      <w:r w:rsidR="00FC7DF6" w:rsidRPr="00B22660">
        <w:t>realiz</w:t>
      </w:r>
      <w:r w:rsidRPr="00B22660">
        <w:t>owane</w:t>
      </w:r>
      <w:r w:rsidR="00FC7DF6" w:rsidRPr="00B22660">
        <w:t xml:space="preserve"> </w:t>
      </w:r>
      <w:r w:rsidR="00FC7DF6" w:rsidRPr="00B22660">
        <w:rPr>
          <w:rFonts w:cs="Times New Roman"/>
        </w:rPr>
        <w:t>zada</w:t>
      </w:r>
      <w:r w:rsidRPr="00B22660">
        <w:rPr>
          <w:rFonts w:cs="Times New Roman"/>
        </w:rPr>
        <w:t>nia</w:t>
      </w:r>
      <w:r w:rsidR="00FC7DF6" w:rsidRPr="00B22660">
        <w:rPr>
          <w:rFonts w:cs="Times New Roman"/>
        </w:rPr>
        <w:t xml:space="preserve"> inwestycyjn</w:t>
      </w:r>
      <w:r w:rsidRPr="00B22660">
        <w:rPr>
          <w:rFonts w:cs="Times New Roman"/>
        </w:rPr>
        <w:t>e</w:t>
      </w:r>
      <w:r w:rsidR="00FC7DF6" w:rsidRPr="00B22660">
        <w:rPr>
          <w:rFonts w:cs="Times New Roman"/>
        </w:rPr>
        <w:t>:</w:t>
      </w:r>
    </w:p>
    <w:p w14:paraId="21E31344" w14:textId="50B5BB8D" w:rsidR="0086693D" w:rsidRPr="00567495" w:rsidRDefault="0086693D" w:rsidP="0086693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22660">
        <w:rPr>
          <w:rFonts w:ascii="Times New Roman" w:hAnsi="Times New Roman"/>
          <w:i/>
          <w:iCs/>
          <w:sz w:val="24"/>
          <w:szCs w:val="24"/>
        </w:rPr>
        <w:t>„</w:t>
      </w:r>
      <w:r w:rsidR="00567495" w:rsidRPr="00B22660">
        <w:rPr>
          <w:rFonts w:ascii="Times New Roman" w:hAnsi="Times New Roman"/>
          <w:i/>
          <w:iCs/>
          <w:sz w:val="24"/>
          <w:szCs w:val="24"/>
        </w:rPr>
        <w:t xml:space="preserve">Doposażenie Szpitalnego Oddziału Ratunkowego w Wyszkowie </w:t>
      </w:r>
      <w:r w:rsidR="00567495" w:rsidRPr="00567495">
        <w:rPr>
          <w:rFonts w:ascii="Times New Roman" w:hAnsi="Times New Roman"/>
          <w:i/>
          <w:iCs/>
          <w:sz w:val="24"/>
          <w:szCs w:val="24"/>
        </w:rPr>
        <w:t>poprzez zakup, dostawę</w:t>
      </w:r>
      <w:r w:rsidR="00B22660">
        <w:rPr>
          <w:rFonts w:ascii="Times New Roman" w:hAnsi="Times New Roman"/>
          <w:i/>
          <w:iCs/>
          <w:sz w:val="24"/>
          <w:szCs w:val="24"/>
        </w:rPr>
        <w:br/>
      </w:r>
      <w:r w:rsidR="00567495" w:rsidRPr="00567495">
        <w:rPr>
          <w:rFonts w:ascii="Times New Roman" w:hAnsi="Times New Roman"/>
          <w:i/>
          <w:iCs/>
          <w:sz w:val="24"/>
          <w:szCs w:val="24"/>
        </w:rPr>
        <w:t>i uruchomienie aparatury medycznej</w:t>
      </w:r>
      <w:r w:rsidRPr="00567495">
        <w:rPr>
          <w:rFonts w:ascii="Times New Roman" w:hAnsi="Times New Roman"/>
          <w:i/>
          <w:iCs/>
          <w:sz w:val="24"/>
          <w:szCs w:val="24"/>
        </w:rPr>
        <w:t>”;</w:t>
      </w:r>
    </w:p>
    <w:p w14:paraId="2826ACC8" w14:textId="3B25B5A9" w:rsidR="0086693D" w:rsidRPr="00567495" w:rsidRDefault="0086693D" w:rsidP="0086693D">
      <w:pPr>
        <w:widowControl/>
        <w:numPr>
          <w:ilvl w:val="0"/>
          <w:numId w:val="4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67495">
        <w:rPr>
          <w:rFonts w:ascii="Times New Roman" w:hAnsi="Times New Roman"/>
          <w:i/>
          <w:iCs/>
          <w:sz w:val="24"/>
          <w:szCs w:val="24"/>
        </w:rPr>
        <w:t>„</w:t>
      </w:r>
      <w:r w:rsidR="00567495" w:rsidRPr="00567495">
        <w:rPr>
          <w:rFonts w:ascii="Times New Roman" w:hAnsi="Times New Roman"/>
          <w:i/>
          <w:iCs/>
          <w:sz w:val="24"/>
          <w:szCs w:val="24"/>
        </w:rPr>
        <w:t>Zakup sprzętu medycznego, wyposażenia, sprzętu informatycznego i innych urządzeń</w:t>
      </w:r>
      <w:r w:rsidRPr="00567495">
        <w:rPr>
          <w:rFonts w:ascii="Times New Roman" w:hAnsi="Times New Roman"/>
          <w:i/>
          <w:iCs/>
          <w:sz w:val="24"/>
          <w:szCs w:val="24"/>
        </w:rPr>
        <w:t>”;</w:t>
      </w:r>
    </w:p>
    <w:p w14:paraId="1426396B" w14:textId="78923854" w:rsidR="0086693D" w:rsidRPr="00567495" w:rsidRDefault="0086693D" w:rsidP="0086693D">
      <w:pPr>
        <w:widowControl/>
        <w:numPr>
          <w:ilvl w:val="0"/>
          <w:numId w:val="4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67495">
        <w:rPr>
          <w:rFonts w:ascii="Times New Roman" w:hAnsi="Times New Roman"/>
          <w:i/>
          <w:iCs/>
          <w:sz w:val="24"/>
          <w:szCs w:val="24"/>
        </w:rPr>
        <w:t>„</w:t>
      </w:r>
      <w:r w:rsidR="00567495" w:rsidRPr="00567495">
        <w:rPr>
          <w:rFonts w:ascii="Times New Roman" w:hAnsi="Times New Roman"/>
          <w:i/>
          <w:iCs/>
          <w:sz w:val="24"/>
          <w:szCs w:val="24"/>
        </w:rPr>
        <w:t>Modernizacja pomieszczeń Przychodni Przyszpitalnej</w:t>
      </w:r>
      <w:r w:rsidRPr="00567495">
        <w:rPr>
          <w:rFonts w:ascii="Times New Roman" w:hAnsi="Times New Roman"/>
          <w:i/>
          <w:iCs/>
          <w:sz w:val="24"/>
          <w:szCs w:val="24"/>
        </w:rPr>
        <w:t>”;</w:t>
      </w:r>
    </w:p>
    <w:p w14:paraId="59B5D24E" w14:textId="72EAA4F9" w:rsidR="00527864" w:rsidRPr="00567495" w:rsidRDefault="00527864" w:rsidP="00527864">
      <w:pPr>
        <w:widowControl/>
        <w:numPr>
          <w:ilvl w:val="0"/>
          <w:numId w:val="4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6749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„Modernizacja </w:t>
      </w:r>
      <w:r w:rsidR="00567495" w:rsidRPr="00567495">
        <w:rPr>
          <w:rFonts w:ascii="Times New Roman" w:hAnsi="Times New Roman"/>
          <w:i/>
          <w:iCs/>
          <w:sz w:val="24"/>
          <w:szCs w:val="24"/>
          <w:lang w:eastAsia="en-US"/>
        </w:rPr>
        <w:t>dróg wewnętrznych i chodników – przykanalik przy wejściu H do budynku Szpitala oraz droga przy tlenowni</w:t>
      </w:r>
      <w:r w:rsidRPr="00567495">
        <w:rPr>
          <w:rFonts w:ascii="Times New Roman" w:hAnsi="Times New Roman"/>
          <w:i/>
          <w:iCs/>
          <w:sz w:val="24"/>
          <w:szCs w:val="24"/>
          <w:lang w:eastAsia="en-US"/>
        </w:rPr>
        <w:t>”;</w:t>
      </w:r>
    </w:p>
    <w:p w14:paraId="476D7050" w14:textId="137779F5" w:rsidR="00FC7DF6" w:rsidRPr="000F66F3" w:rsidRDefault="00FC7DF6" w:rsidP="0053736B">
      <w:pPr>
        <w:pStyle w:val="Standard"/>
        <w:spacing w:after="240" w:line="360" w:lineRule="auto"/>
        <w:jc w:val="both"/>
      </w:pPr>
      <w:r w:rsidRPr="00567495">
        <w:rPr>
          <w:rFonts w:cs="Times New Roman"/>
        </w:rPr>
        <w:t>Łączna wartość poniesionych przez</w:t>
      </w:r>
      <w:r w:rsidRPr="00567495">
        <w:t xml:space="preserve"> jednostkę nakładów inwestycyjnych w 20</w:t>
      </w:r>
      <w:r w:rsidR="004C04C9" w:rsidRPr="00567495">
        <w:t>2</w:t>
      </w:r>
      <w:r w:rsidR="000F66F3" w:rsidRPr="00567495">
        <w:t>4</w:t>
      </w:r>
      <w:r w:rsidRPr="00567495">
        <w:t xml:space="preserve"> roku wynosi </w:t>
      </w:r>
      <w:r w:rsidR="00567495" w:rsidRPr="00567495">
        <w:rPr>
          <w:bCs/>
        </w:rPr>
        <w:t>2 665 670,63</w:t>
      </w:r>
      <w:r w:rsidRPr="00567495">
        <w:rPr>
          <w:bCs/>
        </w:rPr>
        <w:t xml:space="preserve"> zł, co stanowi </w:t>
      </w:r>
      <w:r w:rsidR="00567495" w:rsidRPr="00567495">
        <w:rPr>
          <w:bCs/>
        </w:rPr>
        <w:t>55,76</w:t>
      </w:r>
      <w:r w:rsidRPr="00567495">
        <w:rPr>
          <w:bCs/>
        </w:rPr>
        <w:t xml:space="preserve"> % rocznej amortyzacji majątku. </w:t>
      </w:r>
      <w:r w:rsidR="00AA1A30" w:rsidRPr="00567495">
        <w:rPr>
          <w:bCs/>
        </w:rPr>
        <w:t>Niestety o</w:t>
      </w:r>
      <w:r w:rsidRPr="00567495">
        <w:rPr>
          <w:bCs/>
        </w:rPr>
        <w:t xml:space="preserve">znacza to, że nakłady inwestycyjne są </w:t>
      </w:r>
      <w:r w:rsidR="00AA1A30" w:rsidRPr="00567495">
        <w:rPr>
          <w:bCs/>
        </w:rPr>
        <w:t>ni</w:t>
      </w:r>
      <w:r w:rsidRPr="00567495">
        <w:rPr>
          <w:bCs/>
        </w:rPr>
        <w:t>ższe niż zużycie</w:t>
      </w:r>
      <w:r w:rsidR="00AA1A30" w:rsidRPr="00567495">
        <w:rPr>
          <w:bCs/>
        </w:rPr>
        <w:t xml:space="preserve"> majątku trwałego</w:t>
      </w:r>
      <w:r w:rsidRPr="00567495">
        <w:rPr>
          <w:bCs/>
        </w:rPr>
        <w:t>.</w:t>
      </w:r>
      <w:r w:rsidR="00AA1A30" w:rsidRPr="00567495">
        <w:rPr>
          <w:bCs/>
        </w:rPr>
        <w:t xml:space="preserve"> </w:t>
      </w:r>
      <w:r w:rsidRPr="00567495">
        <w:rPr>
          <w:bCs/>
        </w:rPr>
        <w:t xml:space="preserve">Z dotacji </w:t>
      </w:r>
      <w:r w:rsidRPr="000F66F3">
        <w:rPr>
          <w:bCs/>
        </w:rPr>
        <w:t xml:space="preserve">pozyskano </w:t>
      </w:r>
      <w:r w:rsidR="000F66F3" w:rsidRPr="000F66F3">
        <w:rPr>
          <w:bCs/>
        </w:rPr>
        <w:t>2 250 479,90</w:t>
      </w:r>
      <w:r w:rsidRPr="000F66F3">
        <w:rPr>
          <w:bCs/>
        </w:rPr>
        <w:t xml:space="preserve"> zł. Kwota ta</w:t>
      </w:r>
      <w:r w:rsidRPr="000F66F3">
        <w:t xml:space="preserve"> powiększy rozliczenia międzyokresowe przychodów, a następnie zwiększy stopniowo pozostałe przychody operacyjne jednostki, równolegle do odpisów amortyzacyjnych dokonywanych w kolejnych latach.</w:t>
      </w:r>
    </w:p>
    <w:p w14:paraId="4C7A7C69" w14:textId="6BFE0096" w:rsidR="00FC7DF6" w:rsidRPr="002C7586" w:rsidRDefault="00FC7DF6" w:rsidP="00FC7DF6">
      <w:pPr>
        <w:pStyle w:val="Standard"/>
        <w:spacing w:line="360" w:lineRule="auto"/>
        <w:jc w:val="both"/>
      </w:pPr>
      <w:r w:rsidRPr="002C7586">
        <w:t>Sprawozdanie finansowe za 20</w:t>
      </w:r>
      <w:r w:rsidR="004C04C9" w:rsidRPr="002C7586">
        <w:t>2</w:t>
      </w:r>
      <w:r w:rsidR="002C7586" w:rsidRPr="002C7586">
        <w:t>4</w:t>
      </w:r>
      <w:r w:rsidRPr="002C7586">
        <w:t xml:space="preserve"> rok zostało zbadane przez biegłego rewidenta. </w:t>
      </w:r>
      <w:r w:rsidRPr="002C7586">
        <w:br/>
        <w:t xml:space="preserve">W sprawozdaniu niezależnego biegłego rewidenta z badania rocznego sprawozdania finansowego określono, iż </w:t>
      </w:r>
      <w:r w:rsidR="00353C36" w:rsidRPr="002C7586">
        <w:t>sprawozdanie finansowe</w:t>
      </w:r>
      <w:r w:rsidRPr="002C7586">
        <w:t>:</w:t>
      </w:r>
    </w:p>
    <w:p w14:paraId="1203AFB3" w14:textId="617B1CFF" w:rsidR="00FC7DF6" w:rsidRPr="002C7586" w:rsidRDefault="00FC7DF6">
      <w:pPr>
        <w:pStyle w:val="Akapitzlist"/>
        <w:numPr>
          <w:ilvl w:val="0"/>
          <w:numId w:val="54"/>
        </w:numPr>
        <w:spacing w:after="0" w:line="360" w:lineRule="auto"/>
        <w:jc w:val="both"/>
      </w:pPr>
      <w:r w:rsidRPr="002C7586">
        <w:rPr>
          <w:rFonts w:ascii="Times New Roman" w:hAnsi="Times New Roman"/>
          <w:sz w:val="24"/>
          <w:szCs w:val="24"/>
        </w:rPr>
        <w:t xml:space="preserve">przedstawia rzetelny i jasny obraz sytuacji majątkowej i finansowej SPZZOZ </w:t>
      </w:r>
      <w:r w:rsidRPr="002C7586">
        <w:rPr>
          <w:rFonts w:ascii="Times New Roman" w:hAnsi="Times New Roman"/>
          <w:sz w:val="24"/>
          <w:szCs w:val="24"/>
        </w:rPr>
        <w:br/>
        <w:t>w Wyszkowie na dzień 31</w:t>
      </w:r>
      <w:r w:rsidR="002C7586" w:rsidRPr="002C7586">
        <w:rPr>
          <w:rFonts w:ascii="Times New Roman" w:hAnsi="Times New Roman"/>
          <w:sz w:val="24"/>
          <w:szCs w:val="24"/>
        </w:rPr>
        <w:t xml:space="preserve"> grudnia </w:t>
      </w:r>
      <w:r w:rsidRPr="002C7586">
        <w:rPr>
          <w:rFonts w:ascii="Times New Roman" w:hAnsi="Times New Roman"/>
          <w:sz w:val="24"/>
          <w:szCs w:val="24"/>
        </w:rPr>
        <w:t>20</w:t>
      </w:r>
      <w:r w:rsidR="00471698" w:rsidRPr="002C7586">
        <w:rPr>
          <w:rFonts w:ascii="Times New Roman" w:hAnsi="Times New Roman"/>
          <w:sz w:val="24"/>
          <w:szCs w:val="24"/>
        </w:rPr>
        <w:t>2</w:t>
      </w:r>
      <w:r w:rsidR="002C7586" w:rsidRPr="002C7586">
        <w:rPr>
          <w:rFonts w:ascii="Times New Roman" w:hAnsi="Times New Roman"/>
          <w:sz w:val="24"/>
          <w:szCs w:val="24"/>
        </w:rPr>
        <w:t>4</w:t>
      </w:r>
      <w:r w:rsidRPr="002C7586">
        <w:rPr>
          <w:rFonts w:ascii="Times New Roman" w:hAnsi="Times New Roman"/>
          <w:sz w:val="24"/>
          <w:szCs w:val="24"/>
        </w:rPr>
        <w:t xml:space="preserve"> roku oraz jego wynik</w:t>
      </w:r>
      <w:r w:rsidR="00353C36" w:rsidRPr="002C7586">
        <w:rPr>
          <w:rFonts w:ascii="Times New Roman" w:hAnsi="Times New Roman"/>
          <w:sz w:val="24"/>
          <w:szCs w:val="24"/>
        </w:rPr>
        <w:t>u</w:t>
      </w:r>
      <w:r w:rsidRPr="002C7586">
        <w:rPr>
          <w:rFonts w:ascii="Times New Roman" w:hAnsi="Times New Roman"/>
          <w:sz w:val="24"/>
          <w:szCs w:val="24"/>
        </w:rPr>
        <w:t xml:space="preserve"> finansow</w:t>
      </w:r>
      <w:r w:rsidR="00353C36" w:rsidRPr="002C7586">
        <w:rPr>
          <w:rFonts w:ascii="Times New Roman" w:hAnsi="Times New Roman"/>
          <w:sz w:val="24"/>
          <w:szCs w:val="24"/>
        </w:rPr>
        <w:t>ego</w:t>
      </w:r>
      <w:r w:rsidRPr="002C7586">
        <w:rPr>
          <w:rFonts w:ascii="Times New Roman" w:hAnsi="Times New Roman"/>
          <w:sz w:val="24"/>
          <w:szCs w:val="24"/>
        </w:rPr>
        <w:t xml:space="preserve"> i przepływ</w:t>
      </w:r>
      <w:r w:rsidR="00353C36" w:rsidRPr="002C7586">
        <w:rPr>
          <w:rFonts w:ascii="Times New Roman" w:hAnsi="Times New Roman"/>
          <w:sz w:val="24"/>
          <w:szCs w:val="24"/>
        </w:rPr>
        <w:t>ów</w:t>
      </w:r>
      <w:r w:rsidRPr="002C7586">
        <w:rPr>
          <w:rFonts w:ascii="Times New Roman" w:hAnsi="Times New Roman"/>
          <w:sz w:val="24"/>
          <w:szCs w:val="24"/>
        </w:rPr>
        <w:t xml:space="preserve"> pieniężn</w:t>
      </w:r>
      <w:r w:rsidR="00353C36" w:rsidRPr="002C7586">
        <w:rPr>
          <w:rFonts w:ascii="Times New Roman" w:hAnsi="Times New Roman"/>
          <w:sz w:val="24"/>
          <w:szCs w:val="24"/>
        </w:rPr>
        <w:t>ych</w:t>
      </w:r>
      <w:r w:rsidRPr="002C7586">
        <w:rPr>
          <w:rFonts w:ascii="Times New Roman" w:hAnsi="Times New Roman"/>
          <w:sz w:val="24"/>
          <w:szCs w:val="24"/>
        </w:rPr>
        <w:t xml:space="preserve"> za rok obrotowy </w:t>
      </w:r>
      <w:r w:rsidR="00471698" w:rsidRPr="002C7586">
        <w:rPr>
          <w:rFonts w:ascii="Times New Roman" w:hAnsi="Times New Roman"/>
          <w:sz w:val="24"/>
          <w:szCs w:val="24"/>
        </w:rPr>
        <w:t>zakończony w tym dniu,</w:t>
      </w:r>
      <w:r w:rsidRPr="002C7586">
        <w:rPr>
          <w:rFonts w:ascii="Times New Roman" w:hAnsi="Times New Roman"/>
          <w:sz w:val="24"/>
          <w:szCs w:val="24"/>
        </w:rPr>
        <w:t xml:space="preserve"> zgodnie z mającymi zastosowanie przepisami ustawy o rachunkowości </w:t>
      </w:r>
      <w:r w:rsidR="002C7586" w:rsidRPr="002C7586">
        <w:rPr>
          <w:rFonts w:ascii="Times New Roman" w:hAnsi="Times New Roman"/>
          <w:sz w:val="24"/>
          <w:szCs w:val="24"/>
        </w:rPr>
        <w:t>oraz</w:t>
      </w:r>
      <w:r w:rsidRPr="002C7586">
        <w:rPr>
          <w:rFonts w:ascii="Times New Roman" w:hAnsi="Times New Roman"/>
          <w:sz w:val="24"/>
          <w:szCs w:val="24"/>
        </w:rPr>
        <w:t xml:space="preserve"> przyjętymi zasadami (polityką) rachunkowości,</w:t>
      </w:r>
    </w:p>
    <w:p w14:paraId="7054F026" w14:textId="7C74521F" w:rsidR="00471698" w:rsidRPr="002C7586" w:rsidRDefault="00471698">
      <w:pPr>
        <w:pStyle w:val="Akapitzlist"/>
        <w:numPr>
          <w:ilvl w:val="0"/>
          <w:numId w:val="54"/>
        </w:numPr>
        <w:spacing w:after="0" w:line="360" w:lineRule="auto"/>
        <w:jc w:val="both"/>
      </w:pPr>
      <w:r w:rsidRPr="002C7586">
        <w:rPr>
          <w:rFonts w:ascii="Times New Roman" w:hAnsi="Times New Roman"/>
          <w:sz w:val="24"/>
          <w:szCs w:val="24"/>
        </w:rPr>
        <w:lastRenderedPageBreak/>
        <w:t>jest zgodn</w:t>
      </w:r>
      <w:r w:rsidR="00353C36" w:rsidRPr="002C7586">
        <w:rPr>
          <w:rFonts w:ascii="Times New Roman" w:hAnsi="Times New Roman"/>
          <w:sz w:val="24"/>
          <w:szCs w:val="24"/>
        </w:rPr>
        <w:t>e</w:t>
      </w:r>
      <w:r w:rsidRPr="002C7586">
        <w:rPr>
          <w:rFonts w:ascii="Times New Roman" w:hAnsi="Times New Roman"/>
          <w:sz w:val="24"/>
          <w:szCs w:val="24"/>
        </w:rPr>
        <w:t xml:space="preserve"> co do formy i treści z obowiązującymi przepisami prawa oraz </w:t>
      </w:r>
      <w:r w:rsidR="00353C36" w:rsidRPr="002C7586">
        <w:rPr>
          <w:rFonts w:ascii="Times New Roman" w:hAnsi="Times New Roman"/>
          <w:sz w:val="24"/>
          <w:szCs w:val="24"/>
        </w:rPr>
        <w:t>statutem</w:t>
      </w:r>
      <w:r w:rsidRPr="002C7586">
        <w:rPr>
          <w:rFonts w:ascii="Times New Roman" w:hAnsi="Times New Roman"/>
          <w:sz w:val="24"/>
          <w:szCs w:val="24"/>
        </w:rPr>
        <w:t>,</w:t>
      </w:r>
    </w:p>
    <w:p w14:paraId="32781A8E" w14:textId="220DCE54" w:rsidR="00FC7DF6" w:rsidRPr="002C7586" w:rsidRDefault="00FC7DF6">
      <w:pPr>
        <w:pStyle w:val="Akapitzlist"/>
        <w:numPr>
          <w:ilvl w:val="0"/>
          <w:numId w:val="54"/>
        </w:numPr>
        <w:spacing w:after="0" w:line="360" w:lineRule="auto"/>
        <w:jc w:val="both"/>
      </w:pPr>
      <w:r w:rsidRPr="002C7586">
        <w:rPr>
          <w:rFonts w:ascii="Times New Roman" w:hAnsi="Times New Roman"/>
          <w:sz w:val="24"/>
          <w:szCs w:val="24"/>
        </w:rPr>
        <w:t>został</w:t>
      </w:r>
      <w:r w:rsidR="00353C36" w:rsidRPr="002C7586">
        <w:rPr>
          <w:rFonts w:ascii="Times New Roman" w:hAnsi="Times New Roman"/>
          <w:sz w:val="24"/>
          <w:szCs w:val="24"/>
        </w:rPr>
        <w:t>o</w:t>
      </w:r>
      <w:r w:rsidRPr="002C7586">
        <w:rPr>
          <w:rFonts w:ascii="Times New Roman" w:hAnsi="Times New Roman"/>
          <w:sz w:val="24"/>
          <w:szCs w:val="24"/>
        </w:rPr>
        <w:t xml:space="preserve"> sporządzon</w:t>
      </w:r>
      <w:r w:rsidR="00353C36" w:rsidRPr="002C7586">
        <w:rPr>
          <w:rFonts w:ascii="Times New Roman" w:hAnsi="Times New Roman"/>
          <w:sz w:val="24"/>
          <w:szCs w:val="24"/>
        </w:rPr>
        <w:t>e</w:t>
      </w:r>
      <w:r w:rsidRPr="002C7586">
        <w:rPr>
          <w:rFonts w:ascii="Times New Roman" w:hAnsi="Times New Roman"/>
          <w:sz w:val="24"/>
          <w:szCs w:val="24"/>
        </w:rPr>
        <w:t xml:space="preserve"> na podstawie prawidłowo prowadzonych ksiąg rachunkowych, zgodnie z przepisami rozdziału 2 ustawy o rachunkowości</w:t>
      </w:r>
      <w:r w:rsidR="00471698" w:rsidRPr="002C7586">
        <w:rPr>
          <w:rFonts w:ascii="Times New Roman" w:hAnsi="Times New Roman"/>
          <w:sz w:val="24"/>
          <w:szCs w:val="24"/>
        </w:rPr>
        <w:t>.</w:t>
      </w:r>
    </w:p>
    <w:p w14:paraId="350D9AA1" w14:textId="77777777" w:rsidR="00FC7DF6" w:rsidRPr="001E312A" w:rsidRDefault="00FC7DF6" w:rsidP="00FC7DF6">
      <w:pPr>
        <w:ind w:left="360"/>
        <w:jc w:val="both"/>
        <w:rPr>
          <w:rFonts w:ascii="Times New Roman" w:hAnsi="Times New Roman"/>
          <w:color w:val="FF0000"/>
        </w:rPr>
      </w:pPr>
    </w:p>
    <w:p w14:paraId="65F1E5F5" w14:textId="70F2D7FE" w:rsidR="00FC7DF6" w:rsidRPr="00AF416D" w:rsidRDefault="00FC7DF6" w:rsidP="00F16D3E">
      <w:pPr>
        <w:pStyle w:val="Standard"/>
        <w:pageBreakBefore/>
        <w:widowControl/>
        <w:numPr>
          <w:ilvl w:val="0"/>
          <w:numId w:val="22"/>
        </w:numPr>
        <w:spacing w:after="200" w:line="276" w:lineRule="auto"/>
        <w:ind w:left="567" w:hanging="207"/>
        <w:jc w:val="both"/>
      </w:pPr>
      <w:r w:rsidRPr="00AF416D">
        <w:rPr>
          <w:b/>
          <w:i/>
          <w:sz w:val="28"/>
          <w:szCs w:val="28"/>
        </w:rPr>
        <w:lastRenderedPageBreak/>
        <w:t xml:space="preserve">Założenia prognozy sytuacji ekonomiczno – finansowej SPZZOZ </w:t>
      </w:r>
      <w:r w:rsidRPr="00AF416D">
        <w:rPr>
          <w:b/>
          <w:i/>
          <w:sz w:val="28"/>
          <w:szCs w:val="28"/>
        </w:rPr>
        <w:br/>
        <w:t>w Wyszkowie na lata 202</w:t>
      </w:r>
      <w:r w:rsidR="00140135">
        <w:rPr>
          <w:b/>
          <w:i/>
          <w:sz w:val="28"/>
          <w:szCs w:val="28"/>
        </w:rPr>
        <w:t>5</w:t>
      </w:r>
      <w:r w:rsidRPr="00AF416D">
        <w:rPr>
          <w:b/>
          <w:i/>
          <w:sz w:val="28"/>
          <w:szCs w:val="28"/>
        </w:rPr>
        <w:t>-202</w:t>
      </w:r>
      <w:r w:rsidR="00140135">
        <w:rPr>
          <w:b/>
          <w:i/>
          <w:sz w:val="28"/>
          <w:szCs w:val="28"/>
        </w:rPr>
        <w:t>7</w:t>
      </w:r>
    </w:p>
    <w:p w14:paraId="0C0FCF2F" w14:textId="77777777" w:rsidR="00FC7DF6" w:rsidRPr="00AF416D" w:rsidRDefault="00FC7DF6" w:rsidP="00C41066">
      <w:pPr>
        <w:pStyle w:val="Standard"/>
        <w:spacing w:before="240" w:after="240" w:line="360" w:lineRule="auto"/>
        <w:jc w:val="both"/>
      </w:pPr>
      <w:r w:rsidRPr="00AF416D">
        <w:rPr>
          <w:b/>
        </w:rPr>
        <w:t xml:space="preserve">III.1. Założenia prognozy </w:t>
      </w:r>
      <w:r w:rsidRPr="00AF416D">
        <w:rPr>
          <w:bCs/>
        </w:rPr>
        <w:t>- PRZYCHODY I KOSZTY</w:t>
      </w:r>
    </w:p>
    <w:p w14:paraId="558BF61F" w14:textId="65999B04" w:rsidR="00FC7DF6" w:rsidRPr="002C7586" w:rsidRDefault="00FC7DF6" w:rsidP="00FC7DF6">
      <w:pPr>
        <w:pStyle w:val="Standard"/>
        <w:spacing w:line="360" w:lineRule="auto"/>
      </w:pPr>
      <w:r w:rsidRPr="002C7586">
        <w:rPr>
          <w:i/>
          <w:u w:val="single"/>
        </w:rPr>
        <w:t>202</w:t>
      </w:r>
      <w:r w:rsidR="002C7586" w:rsidRPr="002C7586">
        <w:rPr>
          <w:i/>
          <w:u w:val="single"/>
        </w:rPr>
        <w:t>5</w:t>
      </w:r>
      <w:r w:rsidRPr="002C7586">
        <w:rPr>
          <w:i/>
          <w:u w:val="single"/>
        </w:rPr>
        <w:t xml:space="preserve"> rok</w:t>
      </w:r>
    </w:p>
    <w:p w14:paraId="756DD801" w14:textId="0B12061B" w:rsidR="00FC7DF6" w:rsidRPr="002C7586" w:rsidRDefault="00FC7DF6" w:rsidP="00FC7DF6">
      <w:pPr>
        <w:pStyle w:val="Standard"/>
        <w:spacing w:line="360" w:lineRule="auto"/>
        <w:jc w:val="both"/>
      </w:pPr>
      <w:r w:rsidRPr="002C7586">
        <w:t>Do projekcji sprawozdania finansowego za rok 202</w:t>
      </w:r>
      <w:r w:rsidR="002C7586" w:rsidRPr="002C7586">
        <w:t>5</w:t>
      </w:r>
      <w:r w:rsidRPr="002C7586">
        <w:t xml:space="preserve"> przyjęto wstępnie planowane wartości przychodów i kosztów, </w:t>
      </w:r>
      <w:r w:rsidRPr="002C7586">
        <w:rPr>
          <w:bCs/>
        </w:rPr>
        <w:t xml:space="preserve">zgodnie z </w:t>
      </w:r>
      <w:r w:rsidR="00140135" w:rsidRPr="00140135">
        <w:rPr>
          <w:bCs/>
          <w:i/>
          <w:iCs/>
        </w:rPr>
        <w:t>P</w:t>
      </w:r>
      <w:r w:rsidRPr="00140135">
        <w:rPr>
          <w:bCs/>
          <w:i/>
          <w:iCs/>
        </w:rPr>
        <w:t>lanem finansowym SPZZOZ w Wyszkowie</w:t>
      </w:r>
      <w:r w:rsidR="00140135" w:rsidRPr="00140135">
        <w:rPr>
          <w:bCs/>
          <w:i/>
          <w:iCs/>
        </w:rPr>
        <w:t xml:space="preserve"> na 2025 rok</w:t>
      </w:r>
      <w:r w:rsidRPr="002C7586">
        <w:rPr>
          <w:bCs/>
        </w:rPr>
        <w:t>.</w:t>
      </w:r>
      <w:r w:rsidRPr="002C7586">
        <w:t xml:space="preserve"> Plan zakłada uzyskanie przez jednostkę przychodów ze sprzedaży w kwocie </w:t>
      </w:r>
      <w:r w:rsidR="002C7586" w:rsidRPr="002C7586">
        <w:t>128 880 000,00</w:t>
      </w:r>
      <w:r w:rsidRPr="002C7586">
        <w:t xml:space="preserve"> zł</w:t>
      </w:r>
      <w:r w:rsidRPr="002C7586">
        <w:br/>
        <w:t xml:space="preserve">i poniesionych kosztów działalności operacyjnej w kwocie </w:t>
      </w:r>
      <w:r w:rsidR="002C7586" w:rsidRPr="002C7586">
        <w:t>130 254 000,00</w:t>
      </w:r>
      <w:r w:rsidRPr="002C7586">
        <w:t xml:space="preserve"> zł, co oznacza prognozowaną stratę na sprzedaży w kwocie </w:t>
      </w:r>
      <w:r w:rsidR="00D81BC5" w:rsidRPr="002C7586">
        <w:t>1</w:t>
      </w:r>
      <w:r w:rsidR="002C7586" w:rsidRPr="002C7586">
        <w:t> 374 000,00</w:t>
      </w:r>
      <w:r w:rsidRPr="002C7586">
        <w:t xml:space="preserve"> zł. </w:t>
      </w:r>
    </w:p>
    <w:p w14:paraId="120488EA" w14:textId="6BFA6BDB" w:rsidR="00FC7DF6" w:rsidRPr="002C7586" w:rsidRDefault="00FC7DF6" w:rsidP="00FC7DF6">
      <w:pPr>
        <w:pStyle w:val="Standard"/>
        <w:spacing w:line="360" w:lineRule="auto"/>
        <w:jc w:val="both"/>
      </w:pPr>
      <w:r w:rsidRPr="002C7586">
        <w:t>Wartości przychodów i kosztów skorygowano o zakładane i wdrażane zmiany w tym zakresie</w:t>
      </w:r>
      <w:r w:rsidR="00A5260D" w:rsidRPr="002C7586">
        <w:t>.</w:t>
      </w:r>
      <w:r w:rsidRPr="002C7586">
        <w:t xml:space="preserve"> </w:t>
      </w:r>
      <w:r w:rsidRPr="002C7586">
        <w:br/>
        <w:t xml:space="preserve">Skutki tych zmian będą widoczne w sprawozdaniu </w:t>
      </w:r>
      <w:r w:rsidR="00EC7680">
        <w:t xml:space="preserve">za </w:t>
      </w:r>
      <w:r w:rsidR="00EC7680" w:rsidRPr="002C7586">
        <w:t>2025</w:t>
      </w:r>
      <w:r w:rsidR="00EC7680">
        <w:t xml:space="preserve"> </w:t>
      </w:r>
      <w:r w:rsidRPr="002C7586">
        <w:t xml:space="preserve">rok. </w:t>
      </w:r>
    </w:p>
    <w:p w14:paraId="13AC2C7B" w14:textId="77777777" w:rsidR="00A1005B" w:rsidRPr="002C7586" w:rsidRDefault="00FC7DF6" w:rsidP="002E11D0">
      <w:pPr>
        <w:pStyle w:val="Standard"/>
        <w:spacing w:line="360" w:lineRule="auto"/>
        <w:jc w:val="both"/>
      </w:pPr>
      <w:r w:rsidRPr="002C7586">
        <w:t xml:space="preserve">W prognozach </w:t>
      </w:r>
      <w:r w:rsidR="004F722B" w:rsidRPr="002C7586">
        <w:t>uwzględniono zwiększenie</w:t>
      </w:r>
      <w:r w:rsidRPr="002C7586">
        <w:t xml:space="preserve"> przychodów</w:t>
      </w:r>
      <w:r w:rsidR="00C16462" w:rsidRPr="002C7586">
        <w:t xml:space="preserve"> z</w:t>
      </w:r>
      <w:r w:rsidR="00A1005B" w:rsidRPr="002C7586">
        <w:t>:</w:t>
      </w:r>
    </w:p>
    <w:p w14:paraId="0DF2B738" w14:textId="77777777" w:rsidR="000859B8" w:rsidRPr="000859B8" w:rsidRDefault="000859B8" w:rsidP="000859B8">
      <w:pPr>
        <w:pStyle w:val="Standard"/>
        <w:numPr>
          <w:ilvl w:val="0"/>
          <w:numId w:val="52"/>
        </w:numPr>
        <w:spacing w:line="360" w:lineRule="auto"/>
        <w:jc w:val="both"/>
        <w:rPr>
          <w:color w:val="000000" w:themeColor="text1"/>
        </w:rPr>
      </w:pPr>
      <w:r w:rsidRPr="000859B8">
        <w:rPr>
          <w:rFonts w:cs="Times New Roman"/>
          <w:color w:val="000000" w:themeColor="text1"/>
        </w:rPr>
        <w:t xml:space="preserve">Narodowego Funduszu Zdrowia przy </w:t>
      </w:r>
      <w:r w:rsidRPr="000859B8">
        <w:rPr>
          <w:color w:val="000000" w:themeColor="text1"/>
        </w:rPr>
        <w:t xml:space="preserve">założeniu, że zakres rzeczowy świadczeń wynikający z umów do końca bieżącego roku zostanie zrealizowany </w:t>
      </w:r>
      <w:r w:rsidRPr="000859B8">
        <w:rPr>
          <w:rFonts w:cs="Times New Roman"/>
          <w:color w:val="000000" w:themeColor="text1"/>
        </w:rPr>
        <w:t>– łączny szacowany wzrost wartości to kwota 7 882 000,00 zł, w tym:</w:t>
      </w:r>
    </w:p>
    <w:p w14:paraId="336B8ABA" w14:textId="44CB4DA0" w:rsidR="000859B8" w:rsidRPr="000859B8" w:rsidRDefault="000859B8" w:rsidP="000859B8">
      <w:pPr>
        <w:pStyle w:val="Standard"/>
        <w:numPr>
          <w:ilvl w:val="0"/>
          <w:numId w:val="46"/>
        </w:numPr>
        <w:spacing w:line="360" w:lineRule="auto"/>
        <w:jc w:val="both"/>
        <w:rPr>
          <w:rFonts w:cs="Times New Roman"/>
          <w:color w:val="000000" w:themeColor="text1"/>
        </w:rPr>
      </w:pPr>
      <w:r w:rsidRPr="000859B8">
        <w:rPr>
          <w:rFonts w:cs="Times New Roman"/>
          <w:color w:val="000000" w:themeColor="text1"/>
        </w:rPr>
        <w:t xml:space="preserve">wzrostu ryczałtu PSZ z tytułu wykonania w 2024 roku przekraczającego o 3 % planowaną liczbę jednostek rozliczeniowych – kwota </w:t>
      </w:r>
      <w:r w:rsidRPr="000859B8">
        <w:rPr>
          <w:color w:val="000000" w:themeColor="text1"/>
        </w:rPr>
        <w:t>1 942 000,00</w:t>
      </w:r>
      <w:r w:rsidRPr="000859B8">
        <w:rPr>
          <w:rFonts w:cs="Times New Roman"/>
          <w:color w:val="000000" w:themeColor="text1"/>
        </w:rPr>
        <w:t xml:space="preserve"> zł</w:t>
      </w:r>
    </w:p>
    <w:p w14:paraId="3FB5E1EE" w14:textId="600D547F" w:rsidR="000859B8" w:rsidRPr="000859B8" w:rsidRDefault="000859B8" w:rsidP="000859B8">
      <w:pPr>
        <w:pStyle w:val="Standard"/>
        <w:numPr>
          <w:ilvl w:val="0"/>
          <w:numId w:val="46"/>
        </w:numPr>
        <w:spacing w:line="360" w:lineRule="auto"/>
        <w:jc w:val="both"/>
        <w:rPr>
          <w:rFonts w:cs="Times New Roman"/>
          <w:color w:val="000000" w:themeColor="text1"/>
        </w:rPr>
      </w:pPr>
      <w:r w:rsidRPr="000859B8">
        <w:rPr>
          <w:rFonts w:cs="Times New Roman"/>
          <w:color w:val="000000" w:themeColor="text1"/>
        </w:rPr>
        <w:t>wypłaty nadwykonań ryczałtu PSZ za 2024 r</w:t>
      </w:r>
      <w:r w:rsidR="00EC7680">
        <w:rPr>
          <w:rFonts w:cs="Times New Roman"/>
          <w:color w:val="000000" w:themeColor="text1"/>
        </w:rPr>
        <w:t>ok</w:t>
      </w:r>
      <w:r w:rsidRPr="000859B8">
        <w:rPr>
          <w:rFonts w:cs="Times New Roman"/>
          <w:color w:val="000000" w:themeColor="text1"/>
        </w:rPr>
        <w:t xml:space="preserve"> w wysokości 27</w:t>
      </w:r>
      <w:r w:rsidR="00EC7680">
        <w:rPr>
          <w:rFonts w:cs="Times New Roman"/>
          <w:color w:val="000000" w:themeColor="text1"/>
        </w:rPr>
        <w:t xml:space="preserve"> </w:t>
      </w:r>
      <w:r w:rsidRPr="000859B8">
        <w:rPr>
          <w:rFonts w:cs="Times New Roman"/>
          <w:color w:val="000000" w:themeColor="text1"/>
        </w:rPr>
        <w:t>% co stanowi kwotę</w:t>
      </w:r>
      <w:r w:rsidRPr="000859B8">
        <w:rPr>
          <w:rFonts w:cs="Times New Roman"/>
          <w:color w:val="000000" w:themeColor="text1"/>
        </w:rPr>
        <w:br/>
        <w:t>1 043 000,00 zł</w:t>
      </w:r>
    </w:p>
    <w:p w14:paraId="3FA93191" w14:textId="77777777" w:rsidR="000859B8" w:rsidRPr="000859B8" w:rsidRDefault="000859B8" w:rsidP="000859B8">
      <w:pPr>
        <w:pStyle w:val="Standard"/>
        <w:numPr>
          <w:ilvl w:val="0"/>
          <w:numId w:val="46"/>
        </w:numPr>
        <w:spacing w:line="360" w:lineRule="auto"/>
        <w:jc w:val="both"/>
        <w:rPr>
          <w:rFonts w:cs="Times New Roman"/>
          <w:color w:val="000000" w:themeColor="text1"/>
        </w:rPr>
      </w:pPr>
      <w:r w:rsidRPr="000859B8">
        <w:rPr>
          <w:rFonts w:cs="Times New Roman"/>
          <w:color w:val="000000" w:themeColor="text1"/>
        </w:rPr>
        <w:t>wypłaty nadwykonań za I kwartał 2025 roku – kwota 1 897 000,00 zł</w:t>
      </w:r>
    </w:p>
    <w:p w14:paraId="58DF53CD" w14:textId="7A6F83B8" w:rsidR="000859B8" w:rsidRPr="000859B8" w:rsidRDefault="000859B8" w:rsidP="000859B8">
      <w:pPr>
        <w:pStyle w:val="Standard"/>
        <w:numPr>
          <w:ilvl w:val="0"/>
          <w:numId w:val="46"/>
        </w:numPr>
        <w:spacing w:line="360" w:lineRule="auto"/>
        <w:jc w:val="both"/>
        <w:rPr>
          <w:rFonts w:cs="Times New Roman"/>
          <w:color w:val="000000" w:themeColor="text1"/>
        </w:rPr>
      </w:pPr>
      <w:r w:rsidRPr="000859B8">
        <w:rPr>
          <w:rFonts w:cs="Times New Roman"/>
          <w:color w:val="000000" w:themeColor="text1"/>
        </w:rPr>
        <w:t>wzrostu wynagrodzeń od 1 lipca 202</w:t>
      </w:r>
      <w:r>
        <w:rPr>
          <w:rFonts w:cs="Times New Roman"/>
          <w:color w:val="000000" w:themeColor="text1"/>
        </w:rPr>
        <w:t>5</w:t>
      </w:r>
      <w:r w:rsidRPr="000859B8">
        <w:rPr>
          <w:rFonts w:cs="Times New Roman"/>
          <w:color w:val="000000" w:themeColor="text1"/>
        </w:rPr>
        <w:t xml:space="preserve"> roku – kwota ok. 3 000 000,00 zł.</w:t>
      </w:r>
    </w:p>
    <w:p w14:paraId="12132DB5" w14:textId="79EF9FB0" w:rsidR="009F2BE0" w:rsidRPr="002F0663" w:rsidRDefault="00FC7DF6" w:rsidP="00DE0909">
      <w:pPr>
        <w:pStyle w:val="Standard"/>
        <w:spacing w:line="360" w:lineRule="auto"/>
        <w:jc w:val="both"/>
        <w:rPr>
          <w:rFonts w:cs="Times New Roman"/>
        </w:rPr>
      </w:pPr>
      <w:r w:rsidRPr="002F0663">
        <w:rPr>
          <w:rFonts w:cs="Times New Roman"/>
        </w:rPr>
        <w:t>W zakresie kosztów prognozę określono na podstawie bieżących informacji o poziomie kosztów w roku 202</w:t>
      </w:r>
      <w:r w:rsidR="002F0663" w:rsidRPr="002F0663">
        <w:rPr>
          <w:rFonts w:cs="Times New Roman"/>
        </w:rPr>
        <w:t>5</w:t>
      </w:r>
      <w:r w:rsidR="008E7280" w:rsidRPr="002F0663">
        <w:rPr>
          <w:rFonts w:cs="Times New Roman"/>
        </w:rPr>
        <w:t>,</w:t>
      </w:r>
      <w:r w:rsidRPr="002F0663">
        <w:rPr>
          <w:rFonts w:cs="Times New Roman"/>
        </w:rPr>
        <w:t xml:space="preserve"> uwzględniając dodatkowe koszty</w:t>
      </w:r>
      <w:r w:rsidR="002E11D0" w:rsidRPr="002F0663">
        <w:rPr>
          <w:rFonts w:cs="Times New Roman"/>
        </w:rPr>
        <w:t xml:space="preserve"> </w:t>
      </w:r>
      <w:r w:rsidR="00C16462" w:rsidRPr="002F0663">
        <w:t>regulacji płacowych</w:t>
      </w:r>
      <w:r w:rsidR="002E11D0" w:rsidRPr="002F0663">
        <w:t xml:space="preserve"> </w:t>
      </w:r>
      <w:r w:rsidR="00C00B12" w:rsidRPr="002F0663">
        <w:rPr>
          <w:rFonts w:cs="Times New Roman"/>
        </w:rPr>
        <w:t xml:space="preserve">wynikające </w:t>
      </w:r>
      <w:r w:rsidR="00C00B12" w:rsidRPr="002F0663">
        <w:rPr>
          <w:rFonts w:cs="Times New Roman"/>
        </w:rPr>
        <w:br/>
        <w:t xml:space="preserve">z </w:t>
      </w:r>
      <w:r w:rsidR="00E30710" w:rsidRPr="002F0663">
        <w:rPr>
          <w:rFonts w:cs="Times New Roman"/>
        </w:rPr>
        <w:t xml:space="preserve">ustawy z dnia 8 czerwca 2017 roku </w:t>
      </w:r>
      <w:r w:rsidR="00E30710" w:rsidRPr="002F0663">
        <w:rPr>
          <w:rFonts w:cs="Times New Roman"/>
          <w:i/>
          <w:iCs/>
        </w:rPr>
        <w:t>o sposobie ustalania najniższego wynagrodzenia zasadniczego niektórych pracowników zatrudnionych w podmiotach leczniczych</w:t>
      </w:r>
      <w:r w:rsidR="00E30710" w:rsidRPr="002F0663">
        <w:rPr>
          <w:rFonts w:cs="Times New Roman"/>
        </w:rPr>
        <w:t xml:space="preserve"> (</w:t>
      </w:r>
      <w:r w:rsidR="002E11D0" w:rsidRPr="002F0663">
        <w:rPr>
          <w:rFonts w:cs="Times New Roman"/>
        </w:rPr>
        <w:t xml:space="preserve">t.j. </w:t>
      </w:r>
      <w:r w:rsidR="00E30710" w:rsidRPr="002F0663">
        <w:rPr>
          <w:rFonts w:cs="Times New Roman"/>
        </w:rPr>
        <w:t xml:space="preserve">Dz.U. </w:t>
      </w:r>
      <w:r w:rsidR="00551420" w:rsidRPr="002F0663">
        <w:rPr>
          <w:rFonts w:cs="Times New Roman"/>
        </w:rPr>
        <w:br/>
      </w:r>
      <w:r w:rsidR="00E30710" w:rsidRPr="002F0663">
        <w:rPr>
          <w:rFonts w:cs="Times New Roman"/>
        </w:rPr>
        <w:t>z 202</w:t>
      </w:r>
      <w:r w:rsidR="002E11D0" w:rsidRPr="002F0663">
        <w:rPr>
          <w:rFonts w:cs="Times New Roman"/>
        </w:rPr>
        <w:t>2</w:t>
      </w:r>
      <w:r w:rsidR="00E30710" w:rsidRPr="002F0663">
        <w:rPr>
          <w:rFonts w:cs="Times New Roman"/>
        </w:rPr>
        <w:t xml:space="preserve"> r. poz. </w:t>
      </w:r>
      <w:r w:rsidR="002E11D0" w:rsidRPr="002F0663">
        <w:rPr>
          <w:rFonts w:cs="Times New Roman"/>
        </w:rPr>
        <w:t>2139</w:t>
      </w:r>
      <w:r w:rsidR="00E30710" w:rsidRPr="002F0663">
        <w:rPr>
          <w:rFonts w:cs="Times New Roman"/>
        </w:rPr>
        <w:t>)</w:t>
      </w:r>
      <w:r w:rsidR="009F2BE0" w:rsidRPr="002F0663">
        <w:rPr>
          <w:rFonts w:cs="Times New Roman"/>
        </w:rPr>
        <w:t>.</w:t>
      </w:r>
      <w:r w:rsidR="00DE0909" w:rsidRPr="002F0663">
        <w:rPr>
          <w:rFonts w:cs="Times New Roman"/>
        </w:rPr>
        <w:t xml:space="preserve"> </w:t>
      </w:r>
    </w:p>
    <w:p w14:paraId="690E3B6D" w14:textId="4F1FCD48" w:rsidR="00FC7DF6" w:rsidRPr="002F0663" w:rsidRDefault="00FC7DF6" w:rsidP="00142F2D">
      <w:pPr>
        <w:pStyle w:val="Standard"/>
        <w:spacing w:line="360" w:lineRule="auto"/>
        <w:jc w:val="both"/>
        <w:rPr>
          <w:rFonts w:cs="Times New Roman"/>
        </w:rPr>
      </w:pPr>
      <w:r w:rsidRPr="002F0663">
        <w:rPr>
          <w:rFonts w:cs="Times New Roman"/>
        </w:rPr>
        <w:t>Ww</w:t>
      </w:r>
      <w:r w:rsidR="008E7280" w:rsidRPr="002F0663">
        <w:rPr>
          <w:rFonts w:cs="Times New Roman"/>
        </w:rPr>
        <w:t>.</w:t>
      </w:r>
      <w:r w:rsidRPr="002F0663">
        <w:rPr>
          <w:rFonts w:cs="Times New Roman"/>
        </w:rPr>
        <w:t xml:space="preserve"> kwoty podano w zaokrągleniu do pełnych setek złotych.</w:t>
      </w:r>
    </w:p>
    <w:p w14:paraId="4DD73010" w14:textId="4E70105D" w:rsidR="00FC7DF6" w:rsidRPr="002C7586" w:rsidRDefault="00FC7DF6" w:rsidP="00FC7DF6">
      <w:pPr>
        <w:pStyle w:val="Standard"/>
        <w:spacing w:line="360" w:lineRule="auto"/>
        <w:jc w:val="both"/>
      </w:pPr>
      <w:r w:rsidRPr="002C7586">
        <w:rPr>
          <w:i/>
          <w:u w:val="single"/>
        </w:rPr>
        <w:t>202</w:t>
      </w:r>
      <w:r w:rsidR="002C7586" w:rsidRPr="002C7586">
        <w:rPr>
          <w:i/>
          <w:u w:val="single"/>
        </w:rPr>
        <w:t>6</w:t>
      </w:r>
      <w:r w:rsidRPr="002C7586">
        <w:rPr>
          <w:i/>
          <w:u w:val="single"/>
        </w:rPr>
        <w:t xml:space="preserve"> rok</w:t>
      </w:r>
    </w:p>
    <w:p w14:paraId="535BC109" w14:textId="5C085F06" w:rsidR="00FC7DF6" w:rsidRPr="002C2A3E" w:rsidRDefault="00FC7DF6" w:rsidP="00FC7DF6">
      <w:pPr>
        <w:pStyle w:val="Standard"/>
        <w:spacing w:line="360" w:lineRule="auto"/>
        <w:jc w:val="both"/>
        <w:rPr>
          <w:color w:val="000000" w:themeColor="text1"/>
        </w:rPr>
      </w:pPr>
      <w:r w:rsidRPr="002C7586">
        <w:rPr>
          <w:bCs/>
        </w:rPr>
        <w:t>Przychody</w:t>
      </w:r>
      <w:r w:rsidRPr="002C7586">
        <w:rPr>
          <w:b/>
        </w:rPr>
        <w:t xml:space="preserve"> </w:t>
      </w:r>
      <w:r w:rsidRPr="002C7586">
        <w:t>z NFZ przyjęto w wartości planowanych przychodów na rok 202</w:t>
      </w:r>
      <w:r w:rsidR="002C7586" w:rsidRPr="002C7586">
        <w:t>5</w:t>
      </w:r>
      <w:r w:rsidRPr="002C7586">
        <w:t xml:space="preserve">, </w:t>
      </w:r>
      <w:r w:rsidRPr="002C7586">
        <w:br/>
        <w:t xml:space="preserve">z założeniem </w:t>
      </w:r>
      <w:r w:rsidRPr="002C2A3E">
        <w:rPr>
          <w:color w:val="000000" w:themeColor="text1"/>
        </w:rPr>
        <w:t xml:space="preserve">wzrostu ryczałtu o ok. </w:t>
      </w:r>
      <w:r w:rsidR="00BF7E40" w:rsidRPr="002C2A3E">
        <w:rPr>
          <w:color w:val="000000" w:themeColor="text1"/>
        </w:rPr>
        <w:t>6</w:t>
      </w:r>
      <w:r w:rsidRPr="002C2A3E">
        <w:rPr>
          <w:color w:val="000000" w:themeColor="text1"/>
        </w:rPr>
        <w:t xml:space="preserve"> %</w:t>
      </w:r>
      <w:r w:rsidR="00D20BAD" w:rsidRPr="002C2A3E">
        <w:rPr>
          <w:color w:val="000000" w:themeColor="text1"/>
        </w:rPr>
        <w:t>,</w:t>
      </w:r>
      <w:r w:rsidRPr="002C2A3E">
        <w:rPr>
          <w:color w:val="000000" w:themeColor="text1"/>
        </w:rPr>
        <w:t xml:space="preserve"> </w:t>
      </w:r>
      <w:r w:rsidR="00D20BAD" w:rsidRPr="002C2A3E">
        <w:rPr>
          <w:color w:val="000000" w:themeColor="text1"/>
        </w:rPr>
        <w:t>pozostałych</w:t>
      </w:r>
      <w:r w:rsidRPr="002C2A3E">
        <w:rPr>
          <w:color w:val="000000" w:themeColor="text1"/>
        </w:rPr>
        <w:t xml:space="preserve"> przychodów</w:t>
      </w:r>
      <w:r w:rsidR="00D20BAD" w:rsidRPr="002C2A3E">
        <w:rPr>
          <w:color w:val="000000" w:themeColor="text1"/>
        </w:rPr>
        <w:t xml:space="preserve"> ze sprzedaży</w:t>
      </w:r>
      <w:r w:rsidRPr="002C2A3E">
        <w:rPr>
          <w:color w:val="000000" w:themeColor="text1"/>
        </w:rPr>
        <w:t xml:space="preserve"> o ok. </w:t>
      </w:r>
      <w:r w:rsidR="002C2A3E" w:rsidRPr="002C2A3E">
        <w:rPr>
          <w:color w:val="000000" w:themeColor="text1"/>
        </w:rPr>
        <w:t>3</w:t>
      </w:r>
      <w:r w:rsidRPr="002C2A3E">
        <w:rPr>
          <w:color w:val="000000" w:themeColor="text1"/>
        </w:rPr>
        <w:t xml:space="preserve"> %</w:t>
      </w:r>
      <w:r w:rsidR="00D20BAD" w:rsidRPr="002C2A3E">
        <w:rPr>
          <w:color w:val="000000" w:themeColor="text1"/>
        </w:rPr>
        <w:t xml:space="preserve"> </w:t>
      </w:r>
      <w:r w:rsidR="002B0FE4" w:rsidRPr="002C2A3E">
        <w:rPr>
          <w:color w:val="000000" w:themeColor="text1"/>
        </w:rPr>
        <w:br/>
      </w:r>
      <w:r w:rsidR="00D20BAD" w:rsidRPr="002C2A3E">
        <w:rPr>
          <w:color w:val="000000" w:themeColor="text1"/>
        </w:rPr>
        <w:t>z uwzględnieniem finansowania wzrostu wynagrodzeń</w:t>
      </w:r>
      <w:r w:rsidRPr="002C2A3E">
        <w:rPr>
          <w:color w:val="000000" w:themeColor="text1"/>
        </w:rPr>
        <w:t xml:space="preserve">. </w:t>
      </w:r>
    </w:p>
    <w:p w14:paraId="02094D57" w14:textId="1C11C260" w:rsidR="00FC7DF6" w:rsidRPr="002C2A3E" w:rsidRDefault="00FC7DF6" w:rsidP="00FC7DF6">
      <w:pPr>
        <w:pStyle w:val="Standard"/>
        <w:spacing w:line="360" w:lineRule="auto"/>
        <w:jc w:val="both"/>
        <w:rPr>
          <w:color w:val="000000" w:themeColor="text1"/>
        </w:rPr>
      </w:pPr>
      <w:r w:rsidRPr="002C2A3E">
        <w:rPr>
          <w:color w:val="000000" w:themeColor="text1"/>
        </w:rPr>
        <w:t xml:space="preserve">Do obliczenia prognozowanych wartości </w:t>
      </w:r>
      <w:r w:rsidRPr="002C2A3E">
        <w:rPr>
          <w:bCs/>
          <w:color w:val="000000" w:themeColor="text1"/>
        </w:rPr>
        <w:t>kosztów</w:t>
      </w:r>
      <w:r w:rsidRPr="002C2A3E">
        <w:rPr>
          <w:color w:val="000000" w:themeColor="text1"/>
        </w:rPr>
        <w:t xml:space="preserve"> zakupu materiałów i usług</w:t>
      </w:r>
      <w:r w:rsidR="008E7280" w:rsidRPr="002C2A3E">
        <w:rPr>
          <w:color w:val="000000" w:themeColor="text1"/>
        </w:rPr>
        <w:t>,</w:t>
      </w:r>
      <w:r w:rsidRPr="002C2A3E">
        <w:rPr>
          <w:color w:val="000000" w:themeColor="text1"/>
        </w:rPr>
        <w:t xml:space="preserve"> a także </w:t>
      </w:r>
      <w:r w:rsidRPr="002C2A3E">
        <w:rPr>
          <w:color w:val="000000" w:themeColor="text1"/>
        </w:rPr>
        <w:lastRenderedPageBreak/>
        <w:t xml:space="preserve">pozostałych kosztów rodzajowych </w:t>
      </w:r>
      <w:r w:rsidRPr="00837E2B">
        <w:t xml:space="preserve">zastosowano wskaźnik inflacji (wzrostu cen) </w:t>
      </w:r>
      <w:r w:rsidR="00837E2B" w:rsidRPr="00837E2B">
        <w:rPr>
          <w:i/>
        </w:rPr>
        <w:t>103,8</w:t>
      </w:r>
      <w:r w:rsidRPr="00837E2B">
        <w:br/>
        <w:t>zgodnie z założeniami do projektu budżetu państwa na rok 202</w:t>
      </w:r>
      <w:r w:rsidR="00B32959" w:rsidRPr="00837E2B">
        <w:t>5</w:t>
      </w:r>
      <w:r w:rsidRPr="00837E2B">
        <w:t>.</w:t>
      </w:r>
      <w:r w:rsidR="00060BFD" w:rsidRPr="001E312A">
        <w:rPr>
          <w:color w:val="FF0000"/>
        </w:rPr>
        <w:t xml:space="preserve"> </w:t>
      </w:r>
      <w:r w:rsidRPr="002C2A3E">
        <w:rPr>
          <w:color w:val="000000" w:themeColor="text1"/>
        </w:rPr>
        <w:t xml:space="preserve">Dla wzrostu wynagrodzeń </w:t>
      </w:r>
      <w:r w:rsidR="00060BFD" w:rsidRPr="002C2A3E">
        <w:rPr>
          <w:color w:val="000000" w:themeColor="text1"/>
        </w:rPr>
        <w:br/>
      </w:r>
      <w:r w:rsidRPr="002C2A3E">
        <w:rPr>
          <w:color w:val="000000" w:themeColor="text1"/>
        </w:rPr>
        <w:t xml:space="preserve">i pochodnych przyjęto wzrost o ok. </w:t>
      </w:r>
      <w:r w:rsidR="00B004D2">
        <w:rPr>
          <w:color w:val="000000" w:themeColor="text1"/>
        </w:rPr>
        <w:t>8</w:t>
      </w:r>
      <w:r w:rsidRPr="002C2A3E">
        <w:rPr>
          <w:color w:val="000000" w:themeColor="text1"/>
        </w:rPr>
        <w:t xml:space="preserve"> %. </w:t>
      </w:r>
    </w:p>
    <w:p w14:paraId="39E8B8A1" w14:textId="77777777" w:rsidR="00FC7DF6" w:rsidRPr="002C2A3E" w:rsidRDefault="00FC7DF6" w:rsidP="00142F2D">
      <w:pPr>
        <w:pStyle w:val="Standard"/>
        <w:spacing w:line="360" w:lineRule="auto"/>
        <w:jc w:val="both"/>
        <w:rPr>
          <w:color w:val="000000" w:themeColor="text1"/>
        </w:rPr>
      </w:pPr>
      <w:r w:rsidRPr="002C2A3E">
        <w:rPr>
          <w:color w:val="000000" w:themeColor="text1"/>
        </w:rPr>
        <w:t>Wartości szacowane przyjęto w zaokrągleniu do pełnych setek złotych.</w:t>
      </w:r>
    </w:p>
    <w:p w14:paraId="2FFFD0E8" w14:textId="1FFDA43A" w:rsidR="00FC7DF6" w:rsidRPr="002C7586" w:rsidRDefault="00FC7DF6" w:rsidP="00FC7DF6">
      <w:pPr>
        <w:pStyle w:val="Standard"/>
        <w:spacing w:line="360" w:lineRule="auto"/>
        <w:jc w:val="both"/>
      </w:pPr>
      <w:r w:rsidRPr="002C7586">
        <w:rPr>
          <w:i/>
          <w:u w:val="single"/>
        </w:rPr>
        <w:t>202</w:t>
      </w:r>
      <w:r w:rsidR="002C7586" w:rsidRPr="002C7586">
        <w:rPr>
          <w:i/>
          <w:u w:val="single"/>
        </w:rPr>
        <w:t>7</w:t>
      </w:r>
      <w:r w:rsidRPr="002C7586">
        <w:rPr>
          <w:i/>
          <w:u w:val="single"/>
        </w:rPr>
        <w:t xml:space="preserve"> rok</w:t>
      </w:r>
    </w:p>
    <w:p w14:paraId="03FE2BA7" w14:textId="77777777" w:rsidR="00FC7DF6" w:rsidRPr="002C7586" w:rsidRDefault="00FC7DF6" w:rsidP="00FC7DF6">
      <w:pPr>
        <w:pStyle w:val="Standard"/>
        <w:spacing w:line="360" w:lineRule="auto"/>
        <w:jc w:val="both"/>
      </w:pPr>
      <w:r w:rsidRPr="002C7586">
        <w:t>Dla ustalenia podstawowych wartości sprawozdawczych przyjęto:</w:t>
      </w:r>
    </w:p>
    <w:p w14:paraId="48DD5133" w14:textId="7136281D" w:rsidR="00FC7DF6" w:rsidRPr="002C2A3E" w:rsidRDefault="00FC7DF6">
      <w:pPr>
        <w:pStyle w:val="Standard"/>
        <w:widowControl/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2C2A3E">
        <w:rPr>
          <w:color w:val="000000" w:themeColor="text1"/>
        </w:rPr>
        <w:t xml:space="preserve">wzrost przychodów na poziomie ok. </w:t>
      </w:r>
      <w:r w:rsidR="001C4AA7" w:rsidRPr="002C2A3E">
        <w:rPr>
          <w:color w:val="000000" w:themeColor="text1"/>
        </w:rPr>
        <w:t>8</w:t>
      </w:r>
      <w:r w:rsidRPr="002C2A3E">
        <w:rPr>
          <w:color w:val="000000" w:themeColor="text1"/>
        </w:rPr>
        <w:t xml:space="preserve"> %, </w:t>
      </w:r>
    </w:p>
    <w:p w14:paraId="06BC9D53" w14:textId="6B9981B1" w:rsidR="00C06CB5" w:rsidRPr="002C2A3E" w:rsidRDefault="00FC7DF6">
      <w:pPr>
        <w:pStyle w:val="Standard"/>
        <w:widowControl/>
        <w:numPr>
          <w:ilvl w:val="0"/>
          <w:numId w:val="26"/>
        </w:numPr>
        <w:spacing w:after="200" w:line="360" w:lineRule="auto"/>
        <w:jc w:val="both"/>
        <w:rPr>
          <w:color w:val="000000" w:themeColor="text1"/>
        </w:rPr>
      </w:pPr>
      <w:r w:rsidRPr="002C2A3E">
        <w:rPr>
          <w:color w:val="000000" w:themeColor="text1"/>
        </w:rPr>
        <w:t xml:space="preserve">wzrost kosztów, w tym: zakupu materiałów, usług i pozostałych kosztów rodzajowych </w:t>
      </w:r>
      <w:r w:rsidRPr="002C2A3E">
        <w:rPr>
          <w:color w:val="000000" w:themeColor="text1"/>
        </w:rPr>
        <w:br/>
        <w:t>w oparciu o ww. wskaźnik inflacji (</w:t>
      </w:r>
      <w:r w:rsidR="00943F94" w:rsidRPr="002C2A3E">
        <w:rPr>
          <w:i/>
          <w:color w:val="000000" w:themeColor="text1"/>
        </w:rPr>
        <w:t>103,</w:t>
      </w:r>
      <w:r w:rsidR="00837E2B" w:rsidRPr="002C2A3E">
        <w:rPr>
          <w:i/>
          <w:color w:val="000000" w:themeColor="text1"/>
        </w:rPr>
        <w:t>0</w:t>
      </w:r>
      <w:r w:rsidRPr="002C2A3E">
        <w:rPr>
          <w:i/>
          <w:color w:val="000000" w:themeColor="text1"/>
        </w:rPr>
        <w:t>)</w:t>
      </w:r>
      <w:r w:rsidRPr="002C2A3E">
        <w:rPr>
          <w:color w:val="000000" w:themeColor="text1"/>
        </w:rPr>
        <w:t xml:space="preserve">; dla wynagrodzeń przyjęto wzrost na poziomie </w:t>
      </w:r>
      <w:r w:rsidRPr="002C2A3E">
        <w:rPr>
          <w:color w:val="000000" w:themeColor="text1"/>
        </w:rPr>
        <w:br/>
        <w:t xml:space="preserve">ok. </w:t>
      </w:r>
      <w:r w:rsidR="00C06CB5" w:rsidRPr="002C2A3E">
        <w:rPr>
          <w:color w:val="000000" w:themeColor="text1"/>
        </w:rPr>
        <w:t>5</w:t>
      </w:r>
      <w:r w:rsidRPr="002C2A3E">
        <w:rPr>
          <w:color w:val="000000" w:themeColor="text1"/>
        </w:rPr>
        <w:t xml:space="preserve"> %.</w:t>
      </w:r>
    </w:p>
    <w:p w14:paraId="614A361D" w14:textId="770AE50D" w:rsidR="00DF0D6E" w:rsidRPr="00AF416D" w:rsidRDefault="00FC7DF6" w:rsidP="00DF0D6E">
      <w:pPr>
        <w:pStyle w:val="Standard"/>
        <w:spacing w:before="240" w:after="240" w:line="360" w:lineRule="auto"/>
        <w:jc w:val="both"/>
      </w:pPr>
      <w:r w:rsidRPr="00AF416D">
        <w:rPr>
          <w:b/>
        </w:rPr>
        <w:t>III.2. Założenia prognozy -</w:t>
      </w:r>
      <w:r w:rsidRPr="00AF416D">
        <w:t xml:space="preserve"> INWESTYCJE I DOTACJE </w:t>
      </w:r>
    </w:p>
    <w:p w14:paraId="4A7EA8D9" w14:textId="5A8DFDEC" w:rsidR="00DF0D6E" w:rsidRPr="00837E2B" w:rsidRDefault="00DF0D6E" w:rsidP="008E2A11">
      <w:pPr>
        <w:pStyle w:val="Standard"/>
        <w:spacing w:line="360" w:lineRule="auto"/>
        <w:jc w:val="both"/>
        <w:rPr>
          <w:rFonts w:ascii="Calibri" w:eastAsia="Calibri" w:hAnsi="Calibri"/>
        </w:rPr>
      </w:pPr>
      <w:r w:rsidRPr="00837E2B">
        <w:rPr>
          <w:bCs/>
        </w:rPr>
        <w:t xml:space="preserve">SPZZOZ w Wyszkowie prowadzi politykę inwestycyjną zgodnie z </w:t>
      </w:r>
      <w:r w:rsidRPr="00EC7680">
        <w:rPr>
          <w:bCs/>
          <w:i/>
          <w:iCs/>
        </w:rPr>
        <w:t xml:space="preserve">Planem </w:t>
      </w:r>
      <w:r w:rsidR="00EC7680" w:rsidRPr="00EC7680">
        <w:rPr>
          <w:bCs/>
          <w:i/>
          <w:iCs/>
        </w:rPr>
        <w:t>i</w:t>
      </w:r>
      <w:r w:rsidRPr="00EC7680">
        <w:rPr>
          <w:bCs/>
          <w:i/>
          <w:iCs/>
        </w:rPr>
        <w:t>nwestycyjnym</w:t>
      </w:r>
      <w:r w:rsidRPr="00837E2B">
        <w:rPr>
          <w:bCs/>
        </w:rPr>
        <w:t xml:space="preserve">. </w:t>
      </w:r>
    </w:p>
    <w:p w14:paraId="0E4C0372" w14:textId="579F64BC" w:rsidR="00DF0D6E" w:rsidRPr="00837E2B" w:rsidRDefault="00DF0D6E" w:rsidP="00142F2D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 w:rsidRPr="00837E2B">
        <w:rPr>
          <w:bCs/>
        </w:rPr>
        <w:t>Dla celów projekcji sprawozdań finansowych na lata 202</w:t>
      </w:r>
      <w:r w:rsidR="00357744" w:rsidRPr="00837E2B">
        <w:rPr>
          <w:bCs/>
        </w:rPr>
        <w:t>5</w:t>
      </w:r>
      <w:r w:rsidR="00C8760F" w:rsidRPr="00837E2B">
        <w:rPr>
          <w:bCs/>
        </w:rPr>
        <w:t xml:space="preserve"> </w:t>
      </w:r>
      <w:r w:rsidR="00C8760F" w:rsidRPr="00837E2B">
        <w:rPr>
          <w:rFonts w:cs="Times New Roman"/>
        </w:rPr>
        <w:t xml:space="preserve">– </w:t>
      </w:r>
      <w:r w:rsidRPr="00837E2B">
        <w:rPr>
          <w:bCs/>
        </w:rPr>
        <w:t>202</w:t>
      </w:r>
      <w:r w:rsidR="00357744" w:rsidRPr="00837E2B">
        <w:rPr>
          <w:bCs/>
        </w:rPr>
        <w:t>7</w:t>
      </w:r>
      <w:r w:rsidRPr="00837E2B">
        <w:rPr>
          <w:bCs/>
        </w:rPr>
        <w:t xml:space="preserve"> przyjmuje się założenia wynikające z rozpoczętych </w:t>
      </w:r>
      <w:r w:rsidR="0014529B" w:rsidRPr="00837E2B">
        <w:rPr>
          <w:bCs/>
        </w:rPr>
        <w:t xml:space="preserve">oraz planowanych </w:t>
      </w:r>
      <w:r w:rsidRPr="00837E2B">
        <w:rPr>
          <w:bCs/>
        </w:rPr>
        <w:t>inwestycji:</w:t>
      </w:r>
    </w:p>
    <w:p w14:paraId="264EC3A1" w14:textId="5B240297" w:rsidR="00DF0D6E" w:rsidRPr="002C7586" w:rsidRDefault="00DF0D6E">
      <w:pPr>
        <w:pStyle w:val="Akapitzlist"/>
        <w:numPr>
          <w:ilvl w:val="0"/>
          <w:numId w:val="28"/>
        </w:numPr>
        <w:spacing w:after="0" w:line="360" w:lineRule="auto"/>
        <w:jc w:val="both"/>
        <w:textAlignment w:val="auto"/>
      </w:pPr>
      <w:r w:rsidRPr="002C7586">
        <w:rPr>
          <w:rFonts w:ascii="Times New Roman" w:hAnsi="Times New Roman"/>
          <w:sz w:val="24"/>
          <w:szCs w:val="24"/>
        </w:rPr>
        <w:t>202</w:t>
      </w:r>
      <w:r w:rsidR="002C7586" w:rsidRPr="002C7586">
        <w:rPr>
          <w:rFonts w:ascii="Times New Roman" w:hAnsi="Times New Roman"/>
          <w:sz w:val="24"/>
          <w:szCs w:val="24"/>
        </w:rPr>
        <w:t>5</w:t>
      </w:r>
      <w:r w:rsidRPr="002C7586">
        <w:rPr>
          <w:rFonts w:ascii="Times New Roman" w:hAnsi="Times New Roman"/>
          <w:sz w:val="24"/>
          <w:szCs w:val="24"/>
        </w:rPr>
        <w:t xml:space="preserve"> rok</w:t>
      </w:r>
    </w:p>
    <w:p w14:paraId="3C57A2CD" w14:textId="466842A8" w:rsidR="00DF0D6E" w:rsidRPr="00577DA3" w:rsidRDefault="0081625D" w:rsidP="00837E2B">
      <w:pPr>
        <w:pStyle w:val="Akapitzlist"/>
        <w:numPr>
          <w:ilvl w:val="0"/>
          <w:numId w:val="29"/>
        </w:numPr>
        <w:spacing w:after="0" w:line="360" w:lineRule="auto"/>
        <w:jc w:val="both"/>
        <w:textAlignment w:val="auto"/>
      </w:pPr>
      <w:bookmarkStart w:id="0" w:name="_Hlk71278654"/>
      <w:r w:rsidRPr="00577DA3">
        <w:rPr>
          <w:rFonts w:ascii="Times New Roman" w:hAnsi="Times New Roman"/>
          <w:iCs/>
          <w:sz w:val="24"/>
          <w:szCs w:val="24"/>
        </w:rPr>
        <w:t>kontynuacja</w:t>
      </w:r>
      <w:r w:rsidR="00A66AF8" w:rsidRPr="00577DA3">
        <w:rPr>
          <w:rFonts w:ascii="Times New Roman" w:hAnsi="Times New Roman"/>
          <w:iCs/>
          <w:sz w:val="24"/>
          <w:szCs w:val="24"/>
        </w:rPr>
        <w:t xml:space="preserve"> zadania inwestycyjnego 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pn. </w:t>
      </w:r>
      <w:r w:rsidR="00A66AF8" w:rsidRPr="00577DA3">
        <w:rPr>
          <w:rFonts w:ascii="Times New Roman" w:hAnsi="Times New Roman"/>
          <w:iCs/>
          <w:sz w:val="24"/>
          <w:szCs w:val="24"/>
        </w:rPr>
        <w:t>„</w:t>
      </w:r>
      <w:r w:rsidR="00DF0D6E" w:rsidRPr="00577DA3">
        <w:rPr>
          <w:rFonts w:ascii="Times New Roman" w:hAnsi="Times New Roman"/>
          <w:i/>
          <w:sz w:val="24"/>
          <w:szCs w:val="24"/>
        </w:rPr>
        <w:t>Modernizacja Bloku Porodowego wraz z Salą Cięć Oddziału Ginekologiczno-Położniczego w SPZZOZ w Wyszkowie</w:t>
      </w:r>
      <w:r w:rsidR="00A66AF8" w:rsidRPr="00577DA3">
        <w:rPr>
          <w:rFonts w:ascii="Times New Roman" w:hAnsi="Times New Roman"/>
          <w:i/>
          <w:sz w:val="24"/>
          <w:szCs w:val="24"/>
        </w:rPr>
        <w:t>”</w:t>
      </w:r>
      <w:r w:rsidR="00DF0D6E" w:rsidRPr="00577DA3">
        <w:rPr>
          <w:rFonts w:ascii="Times New Roman" w:hAnsi="Times New Roman"/>
          <w:i/>
          <w:sz w:val="24"/>
          <w:szCs w:val="24"/>
        </w:rPr>
        <w:t xml:space="preserve">. </w:t>
      </w:r>
      <w:r w:rsidR="00DF0D6E" w:rsidRPr="00577DA3">
        <w:rPr>
          <w:rFonts w:ascii="Times New Roman" w:hAnsi="Times New Roman"/>
          <w:iCs/>
          <w:sz w:val="24"/>
          <w:szCs w:val="24"/>
        </w:rPr>
        <w:t>Szacowan</w:t>
      </w:r>
      <w:r w:rsidR="00B835AF" w:rsidRPr="00577DA3">
        <w:rPr>
          <w:rFonts w:ascii="Times New Roman" w:hAnsi="Times New Roman"/>
          <w:iCs/>
          <w:sz w:val="24"/>
          <w:szCs w:val="24"/>
        </w:rPr>
        <w:t>y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 </w:t>
      </w:r>
      <w:r w:rsidR="002710ED" w:rsidRPr="00577DA3">
        <w:rPr>
          <w:rFonts w:ascii="Times New Roman" w:hAnsi="Times New Roman"/>
          <w:iCs/>
          <w:sz w:val="24"/>
          <w:szCs w:val="24"/>
        </w:rPr>
        <w:t xml:space="preserve">koszt inwestycji to kwota </w:t>
      </w:r>
      <w:r w:rsidR="00837E2B" w:rsidRPr="00577DA3">
        <w:rPr>
          <w:rFonts w:ascii="Times New Roman" w:hAnsi="Times New Roman"/>
          <w:iCs/>
          <w:sz w:val="24"/>
          <w:szCs w:val="24"/>
        </w:rPr>
        <w:t>3 220</w:t>
      </w:r>
      <w:r w:rsidR="002710ED" w:rsidRPr="00577DA3">
        <w:rPr>
          <w:rFonts w:ascii="Times New Roman" w:hAnsi="Times New Roman"/>
          <w:iCs/>
          <w:sz w:val="24"/>
          <w:szCs w:val="24"/>
        </w:rPr>
        <w:t> 000,00</w:t>
      </w:r>
      <w:r w:rsidR="00A66AF8" w:rsidRPr="00577DA3">
        <w:rPr>
          <w:rFonts w:ascii="Times New Roman" w:hAnsi="Times New Roman"/>
          <w:iCs/>
          <w:sz w:val="24"/>
          <w:szCs w:val="24"/>
        </w:rPr>
        <w:t xml:space="preserve"> </w:t>
      </w:r>
      <w:r w:rsidR="00DF0D6E" w:rsidRPr="00577DA3">
        <w:rPr>
          <w:rFonts w:ascii="Times New Roman" w:hAnsi="Times New Roman"/>
          <w:iCs/>
          <w:sz w:val="24"/>
          <w:szCs w:val="24"/>
        </w:rPr>
        <w:t>zł</w:t>
      </w:r>
      <w:r w:rsidR="00A66AF8" w:rsidRPr="00577DA3">
        <w:rPr>
          <w:rFonts w:ascii="Times New Roman" w:hAnsi="Times New Roman"/>
          <w:iCs/>
          <w:sz w:val="24"/>
          <w:szCs w:val="24"/>
        </w:rPr>
        <w:t xml:space="preserve">. </w:t>
      </w:r>
      <w:r w:rsidR="00837E2B" w:rsidRPr="00577DA3">
        <w:rPr>
          <w:rFonts w:ascii="Times New Roman" w:hAnsi="Times New Roman"/>
          <w:iCs/>
          <w:sz w:val="24"/>
          <w:szCs w:val="24"/>
        </w:rPr>
        <w:t>Inwestycja zostanie sfinansowana z dotacji</w:t>
      </w:r>
      <w:r w:rsidRPr="00577DA3">
        <w:rPr>
          <w:rFonts w:ascii="Times New Roman" w:hAnsi="Times New Roman"/>
          <w:iCs/>
          <w:sz w:val="24"/>
          <w:szCs w:val="24"/>
        </w:rPr>
        <w:t xml:space="preserve"> budżetu Województwa Mazowieckiego na realizację zadania w ramach „Instrumentu wsparcia zadań ważnych dla równomiernego rozwoju województwa mazowieckiego”</w:t>
      </w:r>
      <w:r w:rsidR="00C26DA3">
        <w:rPr>
          <w:rFonts w:ascii="Times New Roman" w:hAnsi="Times New Roman"/>
          <w:iCs/>
          <w:sz w:val="24"/>
          <w:szCs w:val="24"/>
        </w:rPr>
        <w:t>,</w:t>
      </w:r>
      <w:r w:rsidRPr="00577DA3">
        <w:rPr>
          <w:rFonts w:ascii="Times New Roman" w:hAnsi="Times New Roman"/>
          <w:iCs/>
          <w:sz w:val="24"/>
          <w:szCs w:val="24"/>
        </w:rPr>
        <w:t xml:space="preserve"> dotacji</w:t>
      </w:r>
      <w:r w:rsidR="00837E2B" w:rsidRPr="00577DA3">
        <w:rPr>
          <w:rFonts w:ascii="Times New Roman" w:hAnsi="Times New Roman"/>
          <w:iCs/>
          <w:sz w:val="24"/>
          <w:szCs w:val="24"/>
        </w:rPr>
        <w:t xml:space="preserve"> w ramach </w:t>
      </w:r>
      <w:r w:rsidR="00837E2B" w:rsidRPr="00577DA3">
        <w:rPr>
          <w:rFonts w:ascii="Times New Roman" w:hAnsi="Times New Roman"/>
          <w:i/>
          <w:sz w:val="24"/>
          <w:szCs w:val="24"/>
        </w:rPr>
        <w:t>Porozumienia intencyjnego</w:t>
      </w:r>
      <w:r w:rsidR="00837E2B" w:rsidRPr="00577DA3">
        <w:rPr>
          <w:rFonts w:ascii="Times New Roman" w:hAnsi="Times New Roman"/>
          <w:iCs/>
          <w:sz w:val="24"/>
          <w:szCs w:val="24"/>
        </w:rPr>
        <w:t xml:space="preserve"> zawartego z Powiatem Wyszkowskim</w:t>
      </w:r>
      <w:r w:rsidRPr="00577DA3">
        <w:rPr>
          <w:rFonts w:ascii="Times New Roman" w:hAnsi="Times New Roman"/>
          <w:iCs/>
          <w:sz w:val="24"/>
          <w:szCs w:val="24"/>
        </w:rPr>
        <w:t xml:space="preserve"> oraz </w:t>
      </w:r>
      <w:r w:rsidR="00837E2B" w:rsidRPr="00577DA3">
        <w:rPr>
          <w:rFonts w:ascii="Times New Roman" w:hAnsi="Times New Roman"/>
          <w:iCs/>
          <w:sz w:val="24"/>
          <w:szCs w:val="24"/>
        </w:rPr>
        <w:t>dotacji jednostek samorządu terytorialnego</w:t>
      </w:r>
      <w:r w:rsidR="00A66AF8" w:rsidRPr="00577DA3">
        <w:rPr>
          <w:rFonts w:ascii="Times New Roman" w:hAnsi="Times New Roman"/>
          <w:iCs/>
          <w:sz w:val="24"/>
          <w:szCs w:val="24"/>
        </w:rPr>
        <w:t>;</w:t>
      </w:r>
    </w:p>
    <w:p w14:paraId="090D6426" w14:textId="60716A27" w:rsidR="00DF0D6E" w:rsidRPr="00577DA3" w:rsidRDefault="00FB6343">
      <w:pPr>
        <w:pStyle w:val="Akapitzlist"/>
        <w:numPr>
          <w:ilvl w:val="0"/>
          <w:numId w:val="29"/>
        </w:numPr>
        <w:spacing w:after="0" w:line="360" w:lineRule="auto"/>
        <w:jc w:val="both"/>
        <w:textAlignment w:val="auto"/>
      </w:pPr>
      <w:r w:rsidRPr="00577DA3">
        <w:rPr>
          <w:rFonts w:ascii="Times New Roman" w:hAnsi="Times New Roman"/>
          <w:iCs/>
          <w:sz w:val="24"/>
          <w:szCs w:val="24"/>
        </w:rPr>
        <w:t>realizacja</w:t>
      </w:r>
      <w:r w:rsidR="00064BFB" w:rsidRPr="00577DA3">
        <w:rPr>
          <w:rFonts w:ascii="Times New Roman" w:hAnsi="Times New Roman"/>
          <w:iCs/>
          <w:sz w:val="24"/>
          <w:szCs w:val="24"/>
        </w:rPr>
        <w:t xml:space="preserve"> zadania inwestycyjnego 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pn. </w:t>
      </w:r>
      <w:r w:rsidR="00064BFB" w:rsidRPr="00577DA3">
        <w:rPr>
          <w:rFonts w:ascii="Times New Roman" w:hAnsi="Times New Roman"/>
          <w:i/>
          <w:sz w:val="24"/>
          <w:szCs w:val="24"/>
        </w:rPr>
        <w:t>„</w:t>
      </w:r>
      <w:r w:rsidR="00837E2B" w:rsidRPr="00577DA3">
        <w:rPr>
          <w:rFonts w:ascii="Times New Roman" w:hAnsi="Times New Roman"/>
          <w:i/>
          <w:sz w:val="24"/>
          <w:szCs w:val="24"/>
        </w:rPr>
        <w:t>Wsparcie AOS w SPZZOZ w Wyszkowie</w:t>
      </w:r>
      <w:r w:rsidR="00A863FC" w:rsidRPr="00577DA3">
        <w:rPr>
          <w:rFonts w:ascii="Times New Roman" w:hAnsi="Times New Roman"/>
          <w:i/>
          <w:sz w:val="24"/>
          <w:szCs w:val="24"/>
        </w:rPr>
        <w:t>”</w:t>
      </w:r>
      <w:r w:rsidR="00DF0D6E" w:rsidRPr="00577DA3">
        <w:rPr>
          <w:rFonts w:ascii="Times New Roman" w:hAnsi="Times New Roman"/>
          <w:i/>
          <w:sz w:val="24"/>
          <w:szCs w:val="24"/>
        </w:rPr>
        <w:t xml:space="preserve">. </w:t>
      </w:r>
      <w:r w:rsidR="00DF0D6E" w:rsidRPr="00577DA3">
        <w:rPr>
          <w:rFonts w:ascii="Times New Roman" w:hAnsi="Times New Roman"/>
          <w:iCs/>
          <w:sz w:val="24"/>
          <w:szCs w:val="24"/>
        </w:rPr>
        <w:t>Szacowan</w:t>
      </w:r>
      <w:r w:rsidR="00B835AF" w:rsidRPr="00577DA3">
        <w:rPr>
          <w:rFonts w:ascii="Times New Roman" w:hAnsi="Times New Roman"/>
          <w:iCs/>
          <w:sz w:val="24"/>
          <w:szCs w:val="24"/>
        </w:rPr>
        <w:t>y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 </w:t>
      </w:r>
      <w:r w:rsidR="00B835AF" w:rsidRPr="00577DA3">
        <w:rPr>
          <w:rFonts w:ascii="Times New Roman" w:hAnsi="Times New Roman"/>
          <w:iCs/>
          <w:sz w:val="24"/>
          <w:szCs w:val="24"/>
        </w:rPr>
        <w:t>koszt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 inwestycji </w:t>
      </w:r>
      <w:r w:rsidR="00B835AF" w:rsidRPr="00577DA3">
        <w:rPr>
          <w:rFonts w:ascii="Times New Roman" w:hAnsi="Times New Roman"/>
          <w:iCs/>
          <w:sz w:val="24"/>
          <w:szCs w:val="24"/>
        </w:rPr>
        <w:t>to kwota</w:t>
      </w:r>
      <w:r w:rsidR="00DF0D6E" w:rsidRPr="00577DA3">
        <w:rPr>
          <w:rFonts w:ascii="Times New Roman" w:hAnsi="Times New Roman"/>
          <w:iCs/>
          <w:sz w:val="24"/>
          <w:szCs w:val="24"/>
        </w:rPr>
        <w:t xml:space="preserve"> </w:t>
      </w:r>
      <w:r w:rsidR="00837E2B" w:rsidRPr="00577DA3">
        <w:rPr>
          <w:rFonts w:ascii="Times New Roman" w:hAnsi="Times New Roman"/>
          <w:iCs/>
          <w:sz w:val="24"/>
          <w:szCs w:val="24"/>
        </w:rPr>
        <w:t>1 995 030</w:t>
      </w:r>
      <w:r w:rsidR="00DF0D6E" w:rsidRPr="00577DA3">
        <w:rPr>
          <w:rFonts w:ascii="Times New Roman" w:hAnsi="Times New Roman"/>
          <w:iCs/>
          <w:sz w:val="24"/>
          <w:szCs w:val="24"/>
        </w:rPr>
        <w:t>,00</w:t>
      </w:r>
      <w:r w:rsidR="00064BFB" w:rsidRPr="00577DA3">
        <w:rPr>
          <w:rFonts w:ascii="Times New Roman" w:hAnsi="Times New Roman"/>
          <w:iCs/>
          <w:sz w:val="24"/>
          <w:szCs w:val="24"/>
        </w:rPr>
        <w:t xml:space="preserve"> </w:t>
      </w:r>
      <w:r w:rsidR="00DF0D6E" w:rsidRPr="00577DA3">
        <w:rPr>
          <w:rFonts w:ascii="Times New Roman" w:hAnsi="Times New Roman"/>
          <w:iCs/>
          <w:sz w:val="24"/>
          <w:szCs w:val="24"/>
        </w:rPr>
        <w:t>zł</w:t>
      </w:r>
      <w:r w:rsidR="0081625D" w:rsidRPr="00577DA3">
        <w:rPr>
          <w:rFonts w:ascii="Times New Roman" w:hAnsi="Times New Roman"/>
          <w:iCs/>
          <w:sz w:val="24"/>
          <w:szCs w:val="24"/>
        </w:rPr>
        <w:t xml:space="preserve"> w tym współfinansowanie </w:t>
      </w:r>
      <w:r w:rsidR="0081625D" w:rsidRPr="00577DA3">
        <w:rPr>
          <w:rFonts w:ascii="Times New Roman" w:hAnsi="Times New Roman"/>
          <w:iCs/>
          <w:sz w:val="24"/>
          <w:szCs w:val="24"/>
        </w:rPr>
        <w:br/>
        <w:t xml:space="preserve">z środków Funduszu Europejskiego dla Mazowsza oraz </w:t>
      </w:r>
      <w:r w:rsidR="00AA1A30" w:rsidRPr="00577DA3">
        <w:rPr>
          <w:rFonts w:ascii="Times New Roman" w:hAnsi="Times New Roman"/>
          <w:iCs/>
          <w:sz w:val="24"/>
          <w:szCs w:val="24"/>
        </w:rPr>
        <w:t xml:space="preserve">dotacji w ramach </w:t>
      </w:r>
      <w:r w:rsidR="00AA1A30" w:rsidRPr="00577DA3">
        <w:rPr>
          <w:rFonts w:ascii="Times New Roman" w:hAnsi="Times New Roman"/>
          <w:i/>
          <w:sz w:val="24"/>
          <w:szCs w:val="24"/>
        </w:rPr>
        <w:t>Porozumienia intencyjnego</w:t>
      </w:r>
      <w:r w:rsidR="00AA1A30" w:rsidRPr="00577DA3">
        <w:rPr>
          <w:rFonts w:ascii="Times New Roman" w:hAnsi="Times New Roman"/>
          <w:iCs/>
          <w:sz w:val="24"/>
          <w:szCs w:val="24"/>
        </w:rPr>
        <w:t xml:space="preserve"> zawartego z Powiatem Wyszkowskim</w:t>
      </w:r>
      <w:r w:rsidR="00064BFB" w:rsidRPr="00577DA3">
        <w:rPr>
          <w:rFonts w:ascii="Times New Roman" w:hAnsi="Times New Roman"/>
          <w:iCs/>
          <w:sz w:val="24"/>
          <w:szCs w:val="24"/>
        </w:rPr>
        <w:t>;</w:t>
      </w:r>
    </w:p>
    <w:bookmarkEnd w:id="0"/>
    <w:p w14:paraId="3CAF60EE" w14:textId="60112960" w:rsidR="00DF0D6E" w:rsidRPr="002C7586" w:rsidRDefault="00DF0D6E">
      <w:pPr>
        <w:pStyle w:val="Standard"/>
        <w:widowControl/>
        <w:numPr>
          <w:ilvl w:val="0"/>
          <w:numId w:val="28"/>
        </w:numPr>
        <w:spacing w:line="360" w:lineRule="auto"/>
        <w:jc w:val="both"/>
        <w:textAlignment w:val="auto"/>
        <w:rPr>
          <w:rFonts w:ascii="Calibri" w:eastAsia="Calibri" w:hAnsi="Calibri"/>
        </w:rPr>
      </w:pPr>
      <w:r w:rsidRPr="002C7586">
        <w:t>202</w:t>
      </w:r>
      <w:r w:rsidR="002C7586" w:rsidRPr="002C7586">
        <w:t>6</w:t>
      </w:r>
      <w:r w:rsidRPr="002C7586">
        <w:t xml:space="preserve"> rok</w:t>
      </w:r>
    </w:p>
    <w:p w14:paraId="73B38DE1" w14:textId="39E3829F" w:rsidR="00DF0D6E" w:rsidRPr="004C524F" w:rsidRDefault="008E2A11" w:rsidP="005D6AA2">
      <w:pPr>
        <w:pStyle w:val="Akapitzlist"/>
        <w:numPr>
          <w:ilvl w:val="0"/>
          <w:numId w:val="49"/>
        </w:numPr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77DA3">
        <w:rPr>
          <w:rFonts w:ascii="Times New Roman" w:hAnsi="Times New Roman"/>
          <w:iCs/>
          <w:sz w:val="24"/>
          <w:szCs w:val="24"/>
        </w:rPr>
        <w:t xml:space="preserve">kontynuacja zadania inwestycyjnego </w:t>
      </w:r>
      <w:r w:rsidR="00DF0D6E" w:rsidRPr="00577DA3">
        <w:rPr>
          <w:rFonts w:ascii="Times New Roman" w:hAnsi="Times New Roman"/>
          <w:sz w:val="24"/>
          <w:szCs w:val="24"/>
        </w:rPr>
        <w:t xml:space="preserve">pn. </w:t>
      </w:r>
      <w:r w:rsidRPr="00577DA3">
        <w:rPr>
          <w:rFonts w:ascii="Times New Roman" w:hAnsi="Times New Roman"/>
          <w:sz w:val="24"/>
          <w:szCs w:val="24"/>
        </w:rPr>
        <w:t>„</w:t>
      </w:r>
      <w:r w:rsidR="003A3EDC" w:rsidRPr="00577DA3">
        <w:rPr>
          <w:rFonts w:ascii="Times New Roman" w:hAnsi="Times New Roman"/>
          <w:i/>
          <w:iCs/>
          <w:sz w:val="24"/>
          <w:szCs w:val="24"/>
        </w:rPr>
        <w:t xml:space="preserve">Modernizacja Bloku Porodowego wraz </w:t>
      </w:r>
      <w:r w:rsidR="00551420" w:rsidRPr="00577DA3">
        <w:rPr>
          <w:rFonts w:ascii="Times New Roman" w:hAnsi="Times New Roman"/>
          <w:i/>
          <w:iCs/>
          <w:sz w:val="24"/>
          <w:szCs w:val="24"/>
        </w:rPr>
        <w:br/>
      </w:r>
      <w:r w:rsidR="003A3EDC" w:rsidRPr="00577DA3">
        <w:rPr>
          <w:rFonts w:ascii="Times New Roman" w:hAnsi="Times New Roman"/>
          <w:i/>
          <w:iCs/>
          <w:sz w:val="24"/>
          <w:szCs w:val="24"/>
        </w:rPr>
        <w:t>z Salą Cięć Oddziału Ginekologiczno-Położniczego w SPZZOZ w</w:t>
      </w:r>
      <w:r w:rsidRPr="00577DA3">
        <w:rPr>
          <w:rFonts w:ascii="Times New Roman" w:hAnsi="Times New Roman"/>
          <w:i/>
          <w:iCs/>
          <w:sz w:val="24"/>
          <w:szCs w:val="24"/>
        </w:rPr>
        <w:t>”</w:t>
      </w:r>
      <w:r w:rsidR="00DF0D6E" w:rsidRPr="00577DA3">
        <w:rPr>
          <w:rFonts w:ascii="Times New Roman" w:hAnsi="Times New Roman"/>
          <w:sz w:val="24"/>
          <w:szCs w:val="24"/>
        </w:rPr>
        <w:t xml:space="preserve">. </w:t>
      </w:r>
      <w:r w:rsidRPr="00577DA3">
        <w:rPr>
          <w:rFonts w:ascii="Times New Roman" w:hAnsi="Times New Roman"/>
          <w:iCs/>
          <w:sz w:val="24"/>
          <w:szCs w:val="24"/>
        </w:rPr>
        <w:t xml:space="preserve">Szacowana wartość inwestycji </w:t>
      </w:r>
      <w:r w:rsidR="00DF0D6E" w:rsidRPr="00577DA3">
        <w:rPr>
          <w:rFonts w:ascii="Times New Roman" w:hAnsi="Times New Roman"/>
          <w:sz w:val="24"/>
          <w:szCs w:val="24"/>
        </w:rPr>
        <w:t xml:space="preserve">to kwota </w:t>
      </w:r>
      <w:r w:rsidR="00577DA3" w:rsidRPr="00577DA3">
        <w:rPr>
          <w:rFonts w:ascii="Times New Roman" w:hAnsi="Times New Roman"/>
          <w:sz w:val="24"/>
          <w:szCs w:val="24"/>
        </w:rPr>
        <w:t>3 280 000,00</w:t>
      </w:r>
      <w:r w:rsidRPr="00577DA3">
        <w:rPr>
          <w:rFonts w:ascii="Times New Roman" w:hAnsi="Times New Roman"/>
          <w:sz w:val="24"/>
          <w:szCs w:val="24"/>
        </w:rPr>
        <w:t xml:space="preserve"> </w:t>
      </w:r>
      <w:r w:rsidR="00DF0D6E" w:rsidRPr="00577DA3">
        <w:rPr>
          <w:rFonts w:ascii="Times New Roman" w:hAnsi="Times New Roman"/>
          <w:sz w:val="24"/>
          <w:szCs w:val="24"/>
        </w:rPr>
        <w:t>zł</w:t>
      </w:r>
      <w:r w:rsidR="00C26DA3">
        <w:rPr>
          <w:rFonts w:ascii="Times New Roman" w:hAnsi="Times New Roman"/>
          <w:sz w:val="24"/>
          <w:szCs w:val="24"/>
        </w:rPr>
        <w:t xml:space="preserve">. </w:t>
      </w:r>
      <w:r w:rsidR="00C26DA3" w:rsidRPr="00577DA3">
        <w:rPr>
          <w:rFonts w:ascii="Times New Roman" w:hAnsi="Times New Roman"/>
          <w:iCs/>
          <w:sz w:val="24"/>
          <w:szCs w:val="24"/>
        </w:rPr>
        <w:t>Inwestycja zostanie</w:t>
      </w:r>
      <w:r w:rsidR="00C26DA3">
        <w:rPr>
          <w:rFonts w:ascii="Times New Roman" w:hAnsi="Times New Roman"/>
          <w:iCs/>
          <w:sz w:val="24"/>
          <w:szCs w:val="24"/>
        </w:rPr>
        <w:t xml:space="preserve"> częściowo</w:t>
      </w:r>
      <w:r w:rsidR="00C26DA3" w:rsidRPr="00577DA3">
        <w:rPr>
          <w:rFonts w:ascii="Times New Roman" w:hAnsi="Times New Roman"/>
          <w:iCs/>
          <w:sz w:val="24"/>
          <w:szCs w:val="24"/>
        </w:rPr>
        <w:t xml:space="preserve"> sfinansowana z dotacji budżetu Województwa Mazowieckiego na realizację zadania </w:t>
      </w:r>
      <w:r w:rsidR="00C26DA3" w:rsidRPr="004C524F">
        <w:rPr>
          <w:rFonts w:ascii="Times New Roman" w:hAnsi="Times New Roman"/>
          <w:iCs/>
          <w:sz w:val="24"/>
          <w:szCs w:val="24"/>
        </w:rPr>
        <w:lastRenderedPageBreak/>
        <w:t>w ramach „Instrumentu wsparcia zadań ważnych dla równomiernego rozwoju województwa mazowieckiego” oraz dotacji jednostek samorządu terytorialnego</w:t>
      </w:r>
      <w:r w:rsidR="008C7610" w:rsidRPr="004C524F">
        <w:rPr>
          <w:rFonts w:ascii="Times New Roman" w:hAnsi="Times New Roman"/>
          <w:iCs/>
          <w:sz w:val="24"/>
          <w:szCs w:val="24"/>
        </w:rPr>
        <w:t>;</w:t>
      </w:r>
      <w:r w:rsidR="00DF0D6E" w:rsidRPr="004C524F">
        <w:rPr>
          <w:rFonts w:ascii="Times New Roman" w:hAnsi="Times New Roman"/>
          <w:sz w:val="24"/>
          <w:szCs w:val="24"/>
        </w:rPr>
        <w:t xml:space="preserve"> </w:t>
      </w:r>
    </w:p>
    <w:p w14:paraId="7B5C2299" w14:textId="102B4E67" w:rsidR="00876A28" w:rsidRPr="004C524F" w:rsidRDefault="00876A28" w:rsidP="00143FE3">
      <w:pPr>
        <w:pStyle w:val="Akapitzlist"/>
        <w:numPr>
          <w:ilvl w:val="0"/>
          <w:numId w:val="49"/>
        </w:numPr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524F">
        <w:rPr>
          <w:rFonts w:ascii="Times New Roman" w:hAnsi="Times New Roman"/>
          <w:iCs/>
          <w:sz w:val="24"/>
          <w:szCs w:val="24"/>
        </w:rPr>
        <w:t xml:space="preserve">rozpoczęcie zadania inwestycyjnego </w:t>
      </w:r>
      <w:r w:rsidRPr="004C524F">
        <w:rPr>
          <w:rFonts w:ascii="Times New Roman" w:hAnsi="Times New Roman"/>
          <w:sz w:val="24"/>
          <w:szCs w:val="24"/>
        </w:rPr>
        <w:t xml:space="preserve">pn. </w:t>
      </w:r>
      <w:r w:rsidRPr="004C524F">
        <w:rPr>
          <w:rFonts w:ascii="Times New Roman" w:hAnsi="Times New Roman"/>
          <w:i/>
          <w:iCs/>
          <w:sz w:val="24"/>
          <w:szCs w:val="24"/>
        </w:rPr>
        <w:t>„</w:t>
      </w:r>
      <w:r w:rsidR="00577DA3" w:rsidRPr="004C524F">
        <w:rPr>
          <w:rFonts w:ascii="Times New Roman" w:hAnsi="Times New Roman"/>
          <w:i/>
          <w:iCs/>
          <w:sz w:val="24"/>
          <w:szCs w:val="24"/>
        </w:rPr>
        <w:t>Przyspieszenie procesów transformacji cyfrowej ochrony zdrowia poprzez dalszy rozwój usług cyfrowych w ochronie zdrowia</w:t>
      </w:r>
      <w:r w:rsidRPr="004C524F">
        <w:rPr>
          <w:rFonts w:ascii="Times New Roman" w:hAnsi="Times New Roman"/>
          <w:i/>
          <w:iCs/>
          <w:sz w:val="24"/>
          <w:szCs w:val="24"/>
        </w:rPr>
        <w:t>”</w:t>
      </w:r>
      <w:r w:rsidRPr="004C524F">
        <w:rPr>
          <w:rFonts w:ascii="Times New Roman" w:hAnsi="Times New Roman"/>
          <w:sz w:val="24"/>
          <w:szCs w:val="24"/>
        </w:rPr>
        <w:t xml:space="preserve">. </w:t>
      </w:r>
      <w:r w:rsidRPr="004C524F">
        <w:rPr>
          <w:rFonts w:ascii="Times New Roman" w:hAnsi="Times New Roman"/>
          <w:iCs/>
          <w:sz w:val="24"/>
          <w:szCs w:val="24"/>
        </w:rPr>
        <w:t xml:space="preserve">Szacowana wartość inwestycji </w:t>
      </w:r>
      <w:r w:rsidRPr="004C524F">
        <w:rPr>
          <w:rFonts w:ascii="Times New Roman" w:hAnsi="Times New Roman"/>
          <w:sz w:val="24"/>
          <w:szCs w:val="24"/>
        </w:rPr>
        <w:t xml:space="preserve">to kwota </w:t>
      </w:r>
      <w:r w:rsidR="00577DA3" w:rsidRPr="004C524F">
        <w:rPr>
          <w:rFonts w:ascii="Times New Roman" w:hAnsi="Times New Roman"/>
          <w:sz w:val="24"/>
          <w:szCs w:val="24"/>
        </w:rPr>
        <w:t>6 353 070,00</w:t>
      </w:r>
      <w:r w:rsidRPr="004C524F">
        <w:rPr>
          <w:rFonts w:ascii="Times New Roman" w:hAnsi="Times New Roman"/>
          <w:sz w:val="24"/>
          <w:szCs w:val="24"/>
        </w:rPr>
        <w:t xml:space="preserve"> zł.</w:t>
      </w:r>
      <w:r w:rsidR="00C26DA3" w:rsidRPr="004C524F">
        <w:rPr>
          <w:rFonts w:ascii="Times New Roman" w:hAnsi="Times New Roman"/>
          <w:sz w:val="24"/>
          <w:szCs w:val="24"/>
        </w:rPr>
        <w:t xml:space="preserve"> </w:t>
      </w:r>
      <w:r w:rsidR="00C26DA3" w:rsidRPr="004C524F">
        <w:rPr>
          <w:rFonts w:ascii="Times New Roman" w:hAnsi="Times New Roman"/>
          <w:iCs/>
          <w:sz w:val="24"/>
          <w:szCs w:val="24"/>
        </w:rPr>
        <w:t xml:space="preserve">Inwestycja zostanie częściowo sfinansowana z dotacji </w:t>
      </w:r>
      <w:r w:rsidR="005D6AA2" w:rsidRPr="004C524F">
        <w:rPr>
          <w:rFonts w:ascii="Times New Roman" w:hAnsi="Times New Roman"/>
          <w:sz w:val="24"/>
          <w:szCs w:val="24"/>
        </w:rPr>
        <w:t xml:space="preserve">w ramach Krajowego Planu Odbudowy </w:t>
      </w:r>
      <w:r w:rsidR="005D6AA2" w:rsidRPr="004C524F">
        <w:rPr>
          <w:rFonts w:ascii="Times New Roman" w:hAnsi="Times New Roman"/>
          <w:sz w:val="24"/>
          <w:szCs w:val="24"/>
        </w:rPr>
        <w:br/>
        <w:t xml:space="preserve">i Zwiększania Odporności – Inwestycja D1.1.2 „Przyspieszenie procesów transformacji cyfrowej ochrony zdrowia poprzez dalszy rozwój usług cyfrowych </w:t>
      </w:r>
      <w:r w:rsidR="005D6AA2" w:rsidRPr="004C524F">
        <w:rPr>
          <w:rFonts w:ascii="Times New Roman" w:hAnsi="Times New Roman"/>
          <w:sz w:val="24"/>
          <w:szCs w:val="24"/>
        </w:rPr>
        <w:br/>
        <w:t xml:space="preserve">w ochronie zdrowia” będąca elementem komponentu D „Efektywność, dostępność </w:t>
      </w:r>
      <w:r w:rsidR="005D6AA2" w:rsidRPr="004C524F">
        <w:rPr>
          <w:rFonts w:ascii="Times New Roman" w:hAnsi="Times New Roman"/>
          <w:sz w:val="24"/>
          <w:szCs w:val="24"/>
        </w:rPr>
        <w:br/>
        <w:t xml:space="preserve">i jakość systemu ochrony zdrowia” oraz </w:t>
      </w:r>
      <w:r w:rsidR="00C26DA3" w:rsidRPr="004C524F">
        <w:rPr>
          <w:rFonts w:ascii="Times New Roman" w:hAnsi="Times New Roman"/>
          <w:iCs/>
          <w:sz w:val="24"/>
          <w:szCs w:val="24"/>
        </w:rPr>
        <w:t xml:space="preserve">dotacji w ramach </w:t>
      </w:r>
      <w:r w:rsidR="00C26DA3" w:rsidRPr="004C524F">
        <w:rPr>
          <w:rFonts w:ascii="Times New Roman" w:hAnsi="Times New Roman"/>
          <w:i/>
          <w:sz w:val="24"/>
          <w:szCs w:val="24"/>
        </w:rPr>
        <w:t>Porozumienia intencyjnego</w:t>
      </w:r>
      <w:r w:rsidR="00C26DA3" w:rsidRPr="004C524F">
        <w:rPr>
          <w:rFonts w:ascii="Times New Roman" w:hAnsi="Times New Roman"/>
          <w:iCs/>
          <w:sz w:val="24"/>
          <w:szCs w:val="24"/>
        </w:rPr>
        <w:t xml:space="preserve"> zawartego z Powiatem Wyszkowskim oraz dotacji</w:t>
      </w:r>
      <w:r w:rsidR="005F4E9E" w:rsidRPr="004C524F">
        <w:rPr>
          <w:rFonts w:ascii="Times New Roman" w:hAnsi="Times New Roman"/>
          <w:iCs/>
          <w:sz w:val="24"/>
          <w:szCs w:val="24"/>
        </w:rPr>
        <w:t xml:space="preserve"> jst</w:t>
      </w:r>
      <w:r w:rsidR="00C26DA3" w:rsidRPr="004C524F">
        <w:rPr>
          <w:rFonts w:ascii="Times New Roman" w:hAnsi="Times New Roman"/>
          <w:iCs/>
          <w:sz w:val="24"/>
          <w:szCs w:val="24"/>
        </w:rPr>
        <w:t>;</w:t>
      </w:r>
    </w:p>
    <w:p w14:paraId="053F905E" w14:textId="5340E248" w:rsidR="00577DA3" w:rsidRPr="004C524F" w:rsidRDefault="00577DA3" w:rsidP="005D6AA2">
      <w:pPr>
        <w:pStyle w:val="Akapitzlist"/>
        <w:numPr>
          <w:ilvl w:val="0"/>
          <w:numId w:val="49"/>
        </w:numPr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524F">
        <w:rPr>
          <w:rFonts w:ascii="Times New Roman" w:hAnsi="Times New Roman"/>
          <w:iCs/>
          <w:sz w:val="24"/>
          <w:szCs w:val="24"/>
        </w:rPr>
        <w:t xml:space="preserve">rozpoczęcie zadania inwestycyjnego </w:t>
      </w:r>
      <w:r w:rsidRPr="004C524F">
        <w:rPr>
          <w:rFonts w:ascii="Times New Roman" w:hAnsi="Times New Roman"/>
          <w:sz w:val="24"/>
          <w:szCs w:val="24"/>
        </w:rPr>
        <w:t xml:space="preserve">pn. </w:t>
      </w:r>
      <w:r w:rsidRPr="004C524F">
        <w:rPr>
          <w:rFonts w:ascii="Times New Roman" w:hAnsi="Times New Roman"/>
          <w:i/>
          <w:iCs/>
          <w:sz w:val="24"/>
          <w:szCs w:val="24"/>
        </w:rPr>
        <w:t xml:space="preserve">„Budowa budynku z przeznaczeniem </w:t>
      </w:r>
      <w:r w:rsidRPr="004C524F">
        <w:rPr>
          <w:rFonts w:ascii="Times New Roman" w:hAnsi="Times New Roman"/>
          <w:i/>
          <w:iCs/>
          <w:sz w:val="24"/>
          <w:szCs w:val="24"/>
        </w:rPr>
        <w:br/>
        <w:t xml:space="preserve">na Szpitalny Oddział Ratunkowy i Blok Operacyjny oraz adaptacja </w:t>
      </w:r>
      <w:r w:rsidRPr="004C524F">
        <w:rPr>
          <w:rFonts w:ascii="Times New Roman" w:hAnsi="Times New Roman"/>
          <w:i/>
          <w:iCs/>
          <w:sz w:val="24"/>
          <w:szCs w:val="24"/>
        </w:rPr>
        <w:br/>
        <w:t xml:space="preserve">i zagospodarowanie istniejącej powierzchni SOR z przeznaczeniem na Przychodnię Specjalistyczną na terenie SPZZOZ w Wyszkowie” </w:t>
      </w:r>
      <w:r w:rsidRPr="004C524F">
        <w:rPr>
          <w:rFonts w:ascii="Times New Roman" w:hAnsi="Times New Roman"/>
          <w:sz w:val="24"/>
          <w:szCs w:val="24"/>
        </w:rPr>
        <w:t xml:space="preserve">w ramach kontynuacji zadania </w:t>
      </w:r>
      <w:r w:rsidRPr="004C524F">
        <w:rPr>
          <w:rFonts w:ascii="Times New Roman" w:hAnsi="Times New Roman"/>
          <w:sz w:val="24"/>
          <w:szCs w:val="24"/>
        </w:rPr>
        <w:br/>
        <w:t>pn. „</w:t>
      </w:r>
      <w:r w:rsidRPr="004C524F">
        <w:rPr>
          <w:rFonts w:ascii="Times New Roman" w:hAnsi="Times New Roman"/>
          <w:i/>
          <w:iCs/>
          <w:sz w:val="24"/>
          <w:szCs w:val="24"/>
        </w:rPr>
        <w:t>Przebudowa SOR w Wyszkowie z wyposażeniem wraz z wymianą dźwigu przy SOR w Budynku Szpitala”</w:t>
      </w:r>
      <w:r w:rsidRPr="004C524F">
        <w:rPr>
          <w:rFonts w:ascii="Times New Roman" w:hAnsi="Times New Roman"/>
          <w:sz w:val="24"/>
          <w:szCs w:val="24"/>
        </w:rPr>
        <w:t xml:space="preserve">. </w:t>
      </w:r>
      <w:r w:rsidRPr="004C524F">
        <w:rPr>
          <w:rFonts w:ascii="Times New Roman" w:hAnsi="Times New Roman"/>
          <w:iCs/>
          <w:sz w:val="24"/>
          <w:szCs w:val="24"/>
        </w:rPr>
        <w:t xml:space="preserve">Szacowana wartość inwestycji </w:t>
      </w:r>
      <w:r w:rsidRPr="004C524F">
        <w:rPr>
          <w:rFonts w:ascii="Times New Roman" w:hAnsi="Times New Roman"/>
          <w:sz w:val="24"/>
          <w:szCs w:val="24"/>
        </w:rPr>
        <w:t>to kwota 20 000 000,00 zł.</w:t>
      </w:r>
    </w:p>
    <w:p w14:paraId="1E79A7A5" w14:textId="302BCA36" w:rsidR="00DF0D6E" w:rsidRPr="004C524F" w:rsidRDefault="00DF0D6E">
      <w:pPr>
        <w:pStyle w:val="Standard"/>
        <w:widowControl/>
        <w:numPr>
          <w:ilvl w:val="0"/>
          <w:numId w:val="28"/>
        </w:numPr>
        <w:spacing w:line="360" w:lineRule="auto"/>
        <w:jc w:val="both"/>
        <w:textAlignment w:val="auto"/>
        <w:rPr>
          <w:rFonts w:cs="Times New Roman"/>
        </w:rPr>
      </w:pPr>
      <w:r w:rsidRPr="004C524F">
        <w:rPr>
          <w:rFonts w:cs="Times New Roman"/>
        </w:rPr>
        <w:t>202</w:t>
      </w:r>
      <w:r w:rsidR="002C7586" w:rsidRPr="004C524F">
        <w:rPr>
          <w:rFonts w:cs="Times New Roman"/>
        </w:rPr>
        <w:t>7</w:t>
      </w:r>
      <w:r w:rsidRPr="004C524F">
        <w:rPr>
          <w:rFonts w:cs="Times New Roman"/>
        </w:rPr>
        <w:t xml:space="preserve"> rok</w:t>
      </w:r>
    </w:p>
    <w:p w14:paraId="7F289CF0" w14:textId="67E7FD1B" w:rsidR="00BE2416" w:rsidRPr="004C524F" w:rsidRDefault="00876A28" w:rsidP="00577DA3">
      <w:pPr>
        <w:pStyle w:val="Akapitzlist"/>
        <w:numPr>
          <w:ilvl w:val="0"/>
          <w:numId w:val="41"/>
        </w:numPr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524F">
        <w:rPr>
          <w:rFonts w:ascii="Times New Roman" w:hAnsi="Times New Roman"/>
          <w:iCs/>
          <w:sz w:val="24"/>
          <w:szCs w:val="24"/>
        </w:rPr>
        <w:t>kontynuacja</w:t>
      </w:r>
      <w:r w:rsidR="00BE2416" w:rsidRPr="004C524F">
        <w:rPr>
          <w:rFonts w:ascii="Times New Roman" w:hAnsi="Times New Roman"/>
          <w:iCs/>
          <w:sz w:val="24"/>
          <w:szCs w:val="24"/>
        </w:rPr>
        <w:t xml:space="preserve"> zadania inwestycyjnego </w:t>
      </w:r>
      <w:r w:rsidR="00BE2416" w:rsidRPr="004C524F">
        <w:rPr>
          <w:rFonts w:ascii="Times New Roman" w:hAnsi="Times New Roman"/>
          <w:sz w:val="24"/>
          <w:szCs w:val="24"/>
        </w:rPr>
        <w:t xml:space="preserve">pn. </w:t>
      </w:r>
      <w:r w:rsidR="00577DA3" w:rsidRPr="004C524F">
        <w:rPr>
          <w:rFonts w:ascii="Times New Roman" w:hAnsi="Times New Roman"/>
          <w:i/>
          <w:iCs/>
          <w:sz w:val="24"/>
          <w:szCs w:val="24"/>
        </w:rPr>
        <w:t xml:space="preserve">„Budowa budynku z przeznaczeniem </w:t>
      </w:r>
      <w:r w:rsidR="00577DA3" w:rsidRPr="004C524F">
        <w:rPr>
          <w:rFonts w:ascii="Times New Roman" w:hAnsi="Times New Roman"/>
          <w:i/>
          <w:iCs/>
          <w:sz w:val="24"/>
          <w:szCs w:val="24"/>
        </w:rPr>
        <w:br/>
        <w:t xml:space="preserve">na Szpitalny Oddział Ratunkowy i Blok Operacyjny oraz adaptacja </w:t>
      </w:r>
      <w:r w:rsidR="00577DA3" w:rsidRPr="004C524F">
        <w:rPr>
          <w:rFonts w:ascii="Times New Roman" w:hAnsi="Times New Roman"/>
          <w:i/>
          <w:iCs/>
          <w:sz w:val="24"/>
          <w:szCs w:val="24"/>
        </w:rPr>
        <w:br/>
        <w:t xml:space="preserve">i zagospodarowanie istniejącej powierzchni SOR z przeznaczeniem na Przychodnię Specjalistyczną na terenie SPZZOZ w Wyszkowie” </w:t>
      </w:r>
      <w:r w:rsidR="008C7610" w:rsidRPr="004C524F">
        <w:rPr>
          <w:rFonts w:ascii="Times New Roman" w:hAnsi="Times New Roman"/>
          <w:sz w:val="24"/>
          <w:szCs w:val="24"/>
        </w:rPr>
        <w:t xml:space="preserve">w ramach kontynuacji zadania </w:t>
      </w:r>
      <w:r w:rsidRPr="004C524F">
        <w:rPr>
          <w:rFonts w:ascii="Times New Roman" w:hAnsi="Times New Roman"/>
          <w:sz w:val="24"/>
          <w:szCs w:val="24"/>
        </w:rPr>
        <w:br/>
      </w:r>
      <w:r w:rsidR="008C7610" w:rsidRPr="004C524F">
        <w:rPr>
          <w:rFonts w:ascii="Times New Roman" w:hAnsi="Times New Roman"/>
          <w:sz w:val="24"/>
          <w:szCs w:val="24"/>
        </w:rPr>
        <w:t>pn.</w:t>
      </w:r>
      <w:r w:rsidRPr="004C524F">
        <w:rPr>
          <w:rFonts w:ascii="Times New Roman" w:hAnsi="Times New Roman"/>
          <w:sz w:val="24"/>
          <w:szCs w:val="24"/>
        </w:rPr>
        <w:t xml:space="preserve"> „</w:t>
      </w:r>
      <w:r w:rsidR="00BE2416" w:rsidRPr="004C524F">
        <w:rPr>
          <w:rFonts w:ascii="Times New Roman" w:hAnsi="Times New Roman"/>
          <w:i/>
          <w:iCs/>
          <w:sz w:val="24"/>
          <w:szCs w:val="24"/>
        </w:rPr>
        <w:t>Przebudowa SOR w Wyszkowie z wyposażeniem wraz z wymianą dźwigu przy SOR w Budynku Szpitala”</w:t>
      </w:r>
      <w:r w:rsidR="00BE2416" w:rsidRPr="004C524F">
        <w:rPr>
          <w:rFonts w:ascii="Times New Roman" w:hAnsi="Times New Roman"/>
          <w:sz w:val="24"/>
          <w:szCs w:val="24"/>
        </w:rPr>
        <w:t xml:space="preserve">. </w:t>
      </w:r>
      <w:r w:rsidR="00BE2416" w:rsidRPr="004C524F">
        <w:rPr>
          <w:rFonts w:ascii="Times New Roman" w:hAnsi="Times New Roman"/>
          <w:iCs/>
          <w:sz w:val="24"/>
          <w:szCs w:val="24"/>
        </w:rPr>
        <w:t xml:space="preserve">Szacowana wartość inwestycji </w:t>
      </w:r>
      <w:r w:rsidR="00BE2416" w:rsidRPr="004C524F">
        <w:rPr>
          <w:rFonts w:ascii="Times New Roman" w:hAnsi="Times New Roman"/>
          <w:sz w:val="24"/>
          <w:szCs w:val="24"/>
        </w:rPr>
        <w:t xml:space="preserve">to kwota </w:t>
      </w:r>
      <w:r w:rsidRPr="004C524F">
        <w:rPr>
          <w:rFonts w:ascii="Times New Roman" w:hAnsi="Times New Roman"/>
          <w:sz w:val="24"/>
          <w:szCs w:val="24"/>
        </w:rPr>
        <w:t>3</w:t>
      </w:r>
      <w:r w:rsidR="008C7610" w:rsidRPr="004C524F">
        <w:rPr>
          <w:rFonts w:ascii="Times New Roman" w:hAnsi="Times New Roman"/>
          <w:sz w:val="24"/>
          <w:szCs w:val="24"/>
        </w:rPr>
        <w:t>0</w:t>
      </w:r>
      <w:r w:rsidR="00BE2416" w:rsidRPr="004C524F">
        <w:rPr>
          <w:rFonts w:ascii="Times New Roman" w:hAnsi="Times New Roman"/>
          <w:sz w:val="24"/>
          <w:szCs w:val="24"/>
        </w:rPr>
        <w:t xml:space="preserve"> 000 000,00 zł</w:t>
      </w:r>
      <w:r w:rsidR="00B021C6" w:rsidRPr="004C524F">
        <w:rPr>
          <w:rFonts w:ascii="Times New Roman" w:hAnsi="Times New Roman"/>
          <w:sz w:val="24"/>
          <w:szCs w:val="24"/>
        </w:rPr>
        <w:t>;</w:t>
      </w:r>
    </w:p>
    <w:p w14:paraId="48D09EDD" w14:textId="77777777" w:rsidR="00FC7DF6" w:rsidRPr="00577DA3" w:rsidRDefault="00FC7DF6" w:rsidP="008F5C9B">
      <w:pPr>
        <w:pStyle w:val="Standard"/>
        <w:spacing w:after="240" w:line="360" w:lineRule="auto"/>
        <w:jc w:val="both"/>
      </w:pPr>
      <w:r w:rsidRPr="00577DA3">
        <w:rPr>
          <w:b/>
        </w:rPr>
        <w:t>III.3. Założenia prognozy -</w:t>
      </w:r>
      <w:r w:rsidRPr="00577DA3">
        <w:t xml:space="preserve"> POZOSTAŁE POZYCJE SPRAWOZDAWCZE</w:t>
      </w:r>
    </w:p>
    <w:p w14:paraId="3B1B33C4" w14:textId="0659B5B1" w:rsidR="003130F3" w:rsidRPr="00577DA3" w:rsidRDefault="00FC7DF6" w:rsidP="00142F2D">
      <w:pPr>
        <w:pStyle w:val="Standard"/>
        <w:spacing w:line="360" w:lineRule="auto"/>
        <w:jc w:val="both"/>
      </w:pPr>
      <w:r w:rsidRPr="00577DA3">
        <w:t>Szacunkowe wartości bilansowe aktywów trwałych przyjęto na podstawie obowiązujących zasad amortyzowania majątku w polityce rachunkowości, w oparciu o aktualne tabele amortyzacyjne.</w:t>
      </w:r>
      <w:r w:rsidR="00142F2D" w:rsidRPr="00577DA3">
        <w:t xml:space="preserve">  </w:t>
      </w:r>
      <w:r w:rsidRPr="00577DA3">
        <w:t>Przepływy pieniężne ulegną znaczącym zmianom w przypadku pozyskania zewnętrznego finansowania inwestycji w postaci dotacji, co wpłynie na wartość pozostałych przychodów operacyjnych (rachunek zysków i strat) oraz zobowiązań i rozliczeń międzyokresowych przychodów (bilans). Wartość bilansowa należności może ulec zwiększeniu w związku</w:t>
      </w:r>
      <w:r w:rsidR="00142F2D" w:rsidRPr="00577DA3">
        <w:t xml:space="preserve"> </w:t>
      </w:r>
      <w:r w:rsidRPr="00577DA3">
        <w:t>z dodatkowymi przychodami (należności).</w:t>
      </w:r>
    </w:p>
    <w:p w14:paraId="33F2861E" w14:textId="00A02399" w:rsidR="00FC7DF6" w:rsidRPr="00AF416D" w:rsidRDefault="00FC7DF6" w:rsidP="00F16D3E">
      <w:pPr>
        <w:pStyle w:val="Standard"/>
        <w:widowControl/>
        <w:numPr>
          <w:ilvl w:val="0"/>
          <w:numId w:val="22"/>
        </w:numPr>
        <w:spacing w:after="200" w:line="360" w:lineRule="auto"/>
        <w:ind w:left="567" w:hanging="207"/>
        <w:jc w:val="both"/>
        <w:rPr>
          <w:b/>
          <w:i/>
          <w:sz w:val="28"/>
          <w:szCs w:val="28"/>
        </w:rPr>
      </w:pPr>
      <w:r w:rsidRPr="00AF416D">
        <w:rPr>
          <w:b/>
          <w:i/>
          <w:sz w:val="28"/>
          <w:szCs w:val="28"/>
        </w:rPr>
        <w:lastRenderedPageBreak/>
        <w:t>Podsumowanie analizy i prognozy – ocena wskaźników</w:t>
      </w:r>
    </w:p>
    <w:p w14:paraId="39E256D2" w14:textId="52FC9BA0" w:rsidR="00EF0199" w:rsidRPr="004C524F" w:rsidRDefault="00C825CE" w:rsidP="00060BFD">
      <w:pPr>
        <w:pStyle w:val="Standard"/>
        <w:widowControl/>
        <w:spacing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4C524F">
        <w:rPr>
          <w:bCs/>
          <w:iCs/>
        </w:rPr>
        <w:t>O</w:t>
      </w:r>
      <w:r w:rsidR="005E494F" w:rsidRPr="004C524F">
        <w:t>cena opisowa</w:t>
      </w:r>
      <w:r w:rsidR="003D0DFC" w:rsidRPr="004C524F">
        <w:t xml:space="preserve"> została przedstawiona</w:t>
      </w:r>
      <w:r w:rsidR="005E494F" w:rsidRPr="004C524F">
        <w:t xml:space="preserve"> na podstawie wskaźników zawartych </w:t>
      </w:r>
      <w:r w:rsidR="00743E5C" w:rsidRPr="004C524F">
        <w:br/>
      </w:r>
      <w:r w:rsidR="005E494F" w:rsidRPr="004C524F">
        <w:t>w raporcie ekonomiczno-finansowym SPZZOZ w Wyszkowie za</w:t>
      </w:r>
      <w:r w:rsidR="00EF0199" w:rsidRPr="004C524F">
        <w:t>:</w:t>
      </w:r>
      <w:r w:rsidR="005E494F" w:rsidRPr="004C524F">
        <w:t xml:space="preserve"> </w:t>
      </w:r>
    </w:p>
    <w:p w14:paraId="16ECA20C" w14:textId="6987E6BC" w:rsidR="005E494F" w:rsidRPr="004C524F" w:rsidRDefault="005E494F" w:rsidP="00D10DAD">
      <w:pPr>
        <w:pStyle w:val="Tekstpodstawowy2"/>
        <w:autoSpaceDN/>
        <w:spacing w:line="360" w:lineRule="auto"/>
        <w:rPr>
          <w:i/>
          <w:iCs/>
          <w:sz w:val="24"/>
          <w:u w:val="single"/>
        </w:rPr>
      </w:pPr>
      <w:r w:rsidRPr="004C524F">
        <w:rPr>
          <w:i/>
          <w:iCs/>
          <w:sz w:val="24"/>
          <w:u w:val="single"/>
        </w:rPr>
        <w:t>202</w:t>
      </w:r>
      <w:r w:rsidR="002C7586" w:rsidRPr="004C524F">
        <w:rPr>
          <w:i/>
          <w:iCs/>
          <w:sz w:val="24"/>
          <w:u w:val="single"/>
        </w:rPr>
        <w:t>4</w:t>
      </w:r>
      <w:r w:rsidRPr="004C524F">
        <w:rPr>
          <w:i/>
          <w:iCs/>
          <w:sz w:val="24"/>
          <w:u w:val="single"/>
        </w:rPr>
        <w:t xml:space="preserve"> r</w:t>
      </w:r>
      <w:r w:rsidR="00EF0199" w:rsidRPr="004C524F">
        <w:rPr>
          <w:i/>
          <w:iCs/>
          <w:sz w:val="24"/>
          <w:u w:val="single"/>
        </w:rPr>
        <w:t>ok</w:t>
      </w:r>
    </w:p>
    <w:p w14:paraId="4C77268C" w14:textId="1667512B" w:rsidR="00531B93" w:rsidRPr="004C524F" w:rsidRDefault="00531B93" w:rsidP="00E25378">
      <w:pPr>
        <w:pStyle w:val="Standard"/>
        <w:spacing w:after="240" w:line="360" w:lineRule="auto"/>
        <w:jc w:val="both"/>
      </w:pPr>
      <w:r w:rsidRPr="004C524F">
        <w:t>Ocena wskaźników w roku bazowym 202</w:t>
      </w:r>
      <w:r w:rsidR="002C7586" w:rsidRPr="004C524F">
        <w:t>4</w:t>
      </w:r>
      <w:r w:rsidRPr="004C524F">
        <w:t xml:space="preserve"> osiąga wartość </w:t>
      </w:r>
      <w:r w:rsidR="000363B5" w:rsidRPr="004C524F">
        <w:rPr>
          <w:b/>
        </w:rPr>
        <w:t>13</w:t>
      </w:r>
      <w:r w:rsidRPr="004C524F">
        <w:rPr>
          <w:b/>
        </w:rPr>
        <w:t xml:space="preserve"> punktów </w:t>
      </w:r>
      <w:r w:rsidR="00AA2D3D" w:rsidRPr="004C524F">
        <w:rPr>
          <w:b/>
        </w:rPr>
        <w:t>(</w:t>
      </w:r>
      <w:r w:rsidR="000363B5" w:rsidRPr="004C524F">
        <w:rPr>
          <w:b/>
        </w:rPr>
        <w:t>1</w:t>
      </w:r>
      <w:r w:rsidR="00F66BC4" w:rsidRPr="004C524F">
        <w:rPr>
          <w:b/>
        </w:rPr>
        <w:t>9</w:t>
      </w:r>
      <w:r w:rsidR="00AA2D3D" w:rsidRPr="004C524F">
        <w:rPr>
          <w:b/>
        </w:rPr>
        <w:t xml:space="preserve"> % maksymalnej oceny </w:t>
      </w:r>
      <w:r w:rsidR="00AA2D3D" w:rsidRPr="004C524F">
        <w:t xml:space="preserve">przewidzianej w rozporządzeniu Ministra Zdrowia z dnia 12 kwietnia 2017 roku </w:t>
      </w:r>
      <w:r w:rsidR="00F66BC4" w:rsidRPr="004C524F">
        <w:br/>
      </w:r>
      <w:r w:rsidR="00AA2D3D" w:rsidRPr="004C524F">
        <w:rPr>
          <w:i/>
          <w:iCs/>
        </w:rPr>
        <w:t>w sprawie wskaźników ekonomiczno-finansowych niezbędnych do sporządzenia analizy oraz prognozy sytuacji ekonomiczno-finansowej samodzielnych publicznych zakładów opieki zdrowotnej</w:t>
      </w:r>
      <w:r w:rsidR="00AA2D3D" w:rsidRPr="004C524F">
        <w:t>)</w:t>
      </w:r>
      <w:r w:rsidRPr="004C524F">
        <w:t xml:space="preserve">, to o </w:t>
      </w:r>
      <w:r w:rsidR="000363B5" w:rsidRPr="004C524F">
        <w:t>14</w:t>
      </w:r>
      <w:r w:rsidRPr="004C524F">
        <w:t xml:space="preserve"> punktów </w:t>
      </w:r>
      <w:r w:rsidR="000363B5" w:rsidRPr="004C524F">
        <w:t>mniej</w:t>
      </w:r>
      <w:r w:rsidRPr="004C524F">
        <w:t xml:space="preserve"> niż w poprzednim roku. Brak punktów za uzyskane wartości wskaźników występuje w obszarze </w:t>
      </w:r>
      <w:r w:rsidR="000363B5" w:rsidRPr="004C524F">
        <w:t xml:space="preserve">zyskowności oraz </w:t>
      </w:r>
      <w:r w:rsidRPr="004C524F">
        <w:t>płynności finansowej.</w:t>
      </w:r>
      <w:r w:rsidR="00AA2D3D" w:rsidRPr="004C524F">
        <w:t xml:space="preserve"> </w:t>
      </w:r>
    </w:p>
    <w:p w14:paraId="308E7163" w14:textId="620C747F" w:rsidR="00E25378" w:rsidRPr="004C524F" w:rsidRDefault="005E494F" w:rsidP="00E25378">
      <w:pPr>
        <w:pStyle w:val="Tekstpodstawowy2"/>
        <w:numPr>
          <w:ilvl w:val="0"/>
          <w:numId w:val="39"/>
        </w:numPr>
        <w:autoSpaceDN/>
        <w:spacing w:line="360" w:lineRule="auto"/>
        <w:jc w:val="both"/>
        <w:rPr>
          <w:color w:val="000000" w:themeColor="text1"/>
          <w:sz w:val="24"/>
        </w:rPr>
      </w:pPr>
      <w:r w:rsidRPr="004C524F">
        <w:rPr>
          <w:b/>
          <w:color w:val="000000" w:themeColor="text1"/>
          <w:sz w:val="24"/>
        </w:rPr>
        <w:t>Wskaźniki zyskowności</w:t>
      </w:r>
      <w:r w:rsidRPr="004C524F">
        <w:rPr>
          <w:color w:val="000000" w:themeColor="text1"/>
          <w:sz w:val="24"/>
        </w:rPr>
        <w:t xml:space="preserve"> określają zdolność podmiotu do generowania zysków, a zatem ekonomiczną efektywność działalności. Ujemne wartości tych wskaźników informują </w:t>
      </w:r>
      <w:r w:rsidR="008B6D9C" w:rsidRPr="004C524F">
        <w:rPr>
          <w:color w:val="000000" w:themeColor="text1"/>
          <w:sz w:val="24"/>
        </w:rPr>
        <w:br/>
      </w:r>
      <w:r w:rsidRPr="004C524F">
        <w:rPr>
          <w:color w:val="000000" w:themeColor="text1"/>
          <w:sz w:val="24"/>
        </w:rPr>
        <w:t xml:space="preserve">o braku równowagi pomiędzy kosztami a odpowiadającymi im przychodami. </w:t>
      </w:r>
      <w:r w:rsidR="00E25378" w:rsidRPr="004C524F">
        <w:rPr>
          <w:color w:val="000000" w:themeColor="text1"/>
          <w:sz w:val="24"/>
        </w:rPr>
        <w:t xml:space="preserve">Dodatnie wartości wskaźników informują o racjonalnym gospodarowaniu, gdzie przychody przewyższają koszty. </w:t>
      </w:r>
    </w:p>
    <w:p w14:paraId="2996028F" w14:textId="6C796EC3" w:rsidR="005E494F" w:rsidRPr="004C524F" w:rsidRDefault="005E494F" w:rsidP="00AA1A30">
      <w:pPr>
        <w:pStyle w:val="Tekstpodstawowy2"/>
        <w:numPr>
          <w:ilvl w:val="0"/>
          <w:numId w:val="35"/>
        </w:numPr>
        <w:autoSpaceDN/>
        <w:spacing w:line="360" w:lineRule="auto"/>
        <w:jc w:val="both"/>
        <w:rPr>
          <w:color w:val="000000" w:themeColor="text1"/>
          <w:sz w:val="24"/>
        </w:rPr>
      </w:pPr>
      <w:r w:rsidRPr="004C524F">
        <w:rPr>
          <w:b/>
          <w:color w:val="000000" w:themeColor="text1"/>
          <w:sz w:val="24"/>
        </w:rPr>
        <w:t>Wskaźnik zyskowności netto</w:t>
      </w:r>
      <w:r w:rsidRPr="004C524F">
        <w:rPr>
          <w:color w:val="000000" w:themeColor="text1"/>
          <w:sz w:val="24"/>
        </w:rPr>
        <w:t xml:space="preserve"> (%) pokazuje jaką część przychodów stanowi odnotowany zysk lub strata. W ten sposób jest określona efektywność gospodarki finansowej w odniesieniu do relacji przychody ogółem </w:t>
      </w:r>
      <w:r w:rsidR="00F66BC4" w:rsidRPr="004C524F">
        <w:rPr>
          <w:b/>
          <w:i/>
          <w:color w:val="000000" w:themeColor="text1"/>
          <w:sz w:val="24"/>
        </w:rPr>
        <w:t>–</w:t>
      </w:r>
      <w:r w:rsidRPr="004C524F">
        <w:rPr>
          <w:color w:val="000000" w:themeColor="text1"/>
          <w:sz w:val="24"/>
        </w:rPr>
        <w:t xml:space="preserve"> koszty ogółem podmiotu. </w:t>
      </w:r>
      <w:r w:rsidR="00B835AF" w:rsidRPr="004C524F">
        <w:rPr>
          <w:color w:val="000000" w:themeColor="text1"/>
          <w:sz w:val="24"/>
        </w:rPr>
        <w:br/>
      </w:r>
      <w:r w:rsidRPr="004C524F">
        <w:rPr>
          <w:color w:val="000000" w:themeColor="text1"/>
          <w:sz w:val="24"/>
        </w:rPr>
        <w:t xml:space="preserve">Na podstawie złożonego raportu wskaźnik zyskowności netto wynosi </w:t>
      </w:r>
      <w:r w:rsidR="00422E82" w:rsidRPr="004C524F">
        <w:rPr>
          <w:color w:val="000000" w:themeColor="text1"/>
          <w:sz w:val="24"/>
        </w:rPr>
        <w:t>-2,6</w:t>
      </w:r>
      <w:r w:rsidRPr="004C524F">
        <w:rPr>
          <w:color w:val="000000" w:themeColor="text1"/>
          <w:sz w:val="24"/>
        </w:rPr>
        <w:t xml:space="preserve"> %. </w:t>
      </w:r>
      <w:r w:rsidR="009966D6" w:rsidRPr="004C524F">
        <w:rPr>
          <w:color w:val="000000" w:themeColor="text1"/>
          <w:sz w:val="24"/>
        </w:rPr>
        <w:t>Wartość wskaźnika w porównaniu do ubiegłego roku wykazuje spadek, kiedy to osiągała wartość</w:t>
      </w:r>
      <w:r w:rsidR="00E25378" w:rsidRPr="004C524F">
        <w:rPr>
          <w:color w:val="000000" w:themeColor="text1"/>
          <w:sz w:val="24"/>
        </w:rPr>
        <w:t xml:space="preserve"> </w:t>
      </w:r>
      <w:r w:rsidR="00422E82" w:rsidRPr="004C524F">
        <w:rPr>
          <w:color w:val="000000" w:themeColor="text1"/>
          <w:sz w:val="24"/>
        </w:rPr>
        <w:t xml:space="preserve">0,01 </w:t>
      </w:r>
      <w:r w:rsidR="00AA1A30" w:rsidRPr="004C524F">
        <w:rPr>
          <w:color w:val="000000" w:themeColor="text1"/>
          <w:sz w:val="24"/>
        </w:rPr>
        <w:t>%</w:t>
      </w:r>
      <w:r w:rsidR="00DE5A50" w:rsidRPr="004C524F">
        <w:rPr>
          <w:color w:val="000000" w:themeColor="text1"/>
          <w:sz w:val="24"/>
        </w:rPr>
        <w:t xml:space="preserve">. </w:t>
      </w:r>
    </w:p>
    <w:p w14:paraId="20739906" w14:textId="4B2CDDEE" w:rsidR="009966D6" w:rsidRPr="004C524F" w:rsidRDefault="005E494F" w:rsidP="009966D6">
      <w:pPr>
        <w:pStyle w:val="Tekstpodstawowy2"/>
        <w:numPr>
          <w:ilvl w:val="0"/>
          <w:numId w:val="35"/>
        </w:numPr>
        <w:autoSpaceDN/>
        <w:spacing w:line="360" w:lineRule="auto"/>
        <w:jc w:val="both"/>
        <w:rPr>
          <w:color w:val="000000" w:themeColor="text1"/>
          <w:sz w:val="24"/>
        </w:rPr>
      </w:pPr>
      <w:r w:rsidRPr="004C524F">
        <w:rPr>
          <w:b/>
          <w:color w:val="000000" w:themeColor="text1"/>
          <w:sz w:val="24"/>
        </w:rPr>
        <w:t>Wskaźnik zyskowności działalności operacyjnej</w:t>
      </w:r>
      <w:r w:rsidRPr="004C524F">
        <w:rPr>
          <w:color w:val="000000" w:themeColor="text1"/>
          <w:sz w:val="24"/>
        </w:rPr>
        <w:t xml:space="preserve"> (%) określa ekonomiczną efektywność działania podmiotu z uwzględnieniem działalności podstawowej oraz pozostałej działalności operacyjnej, pomijając działalność finansową (w szczególności koszt odsetek od zaciągniętych zobowiązań wobec banków i kontrahentów). Wskaźnik ten w roku 202</w:t>
      </w:r>
      <w:r w:rsidR="009966D6" w:rsidRPr="004C524F">
        <w:rPr>
          <w:color w:val="000000" w:themeColor="text1"/>
          <w:sz w:val="24"/>
        </w:rPr>
        <w:t>4</w:t>
      </w:r>
      <w:r w:rsidR="009071C9" w:rsidRPr="004C524F">
        <w:rPr>
          <w:color w:val="000000" w:themeColor="text1"/>
          <w:sz w:val="24"/>
        </w:rPr>
        <w:t xml:space="preserve"> ukształtował się na poziomie </w:t>
      </w:r>
      <w:r w:rsidR="009966D6" w:rsidRPr="004C524F">
        <w:rPr>
          <w:color w:val="000000" w:themeColor="text1"/>
          <w:sz w:val="24"/>
        </w:rPr>
        <w:t>ujemnym</w:t>
      </w:r>
      <w:r w:rsidR="009071C9" w:rsidRPr="004C524F">
        <w:rPr>
          <w:color w:val="000000" w:themeColor="text1"/>
          <w:sz w:val="24"/>
        </w:rPr>
        <w:t xml:space="preserve"> i</w:t>
      </w:r>
      <w:r w:rsidRPr="004C524F">
        <w:rPr>
          <w:color w:val="000000" w:themeColor="text1"/>
          <w:sz w:val="24"/>
        </w:rPr>
        <w:t xml:space="preserve"> wyniósł </w:t>
      </w:r>
      <w:r w:rsidR="009966D6" w:rsidRPr="004C524F">
        <w:rPr>
          <w:color w:val="000000" w:themeColor="text1"/>
          <w:sz w:val="24"/>
        </w:rPr>
        <w:t>-</w:t>
      </w:r>
      <w:r w:rsidR="000363B5" w:rsidRPr="004C524F">
        <w:rPr>
          <w:color w:val="000000" w:themeColor="text1"/>
          <w:sz w:val="24"/>
        </w:rPr>
        <w:t>3,22</w:t>
      </w:r>
      <w:r w:rsidR="00EF0199" w:rsidRPr="004C524F">
        <w:rPr>
          <w:color w:val="000000" w:themeColor="text1"/>
          <w:sz w:val="24"/>
        </w:rPr>
        <w:t xml:space="preserve"> </w:t>
      </w:r>
      <w:r w:rsidRPr="004C524F">
        <w:rPr>
          <w:color w:val="000000" w:themeColor="text1"/>
          <w:sz w:val="24"/>
        </w:rPr>
        <w:t xml:space="preserve">%. </w:t>
      </w:r>
      <w:r w:rsidR="009071C9" w:rsidRPr="004C524F">
        <w:rPr>
          <w:color w:val="000000" w:themeColor="text1"/>
          <w:sz w:val="24"/>
        </w:rPr>
        <w:br/>
      </w:r>
      <w:r w:rsidR="009966D6" w:rsidRPr="004C524F">
        <w:rPr>
          <w:color w:val="000000" w:themeColor="text1"/>
          <w:sz w:val="24"/>
        </w:rPr>
        <w:t>W porównaniu do roku poprzedniego 1,31 % wartość tego wskaźnika uległa pogorszeniu. Spadek wartości wskaźnika oceniamy negatywnie i interpretujemy jako pogorszenie rentowności.</w:t>
      </w:r>
    </w:p>
    <w:p w14:paraId="7E91EDD7" w14:textId="4B8FDBEF" w:rsidR="005E494F" w:rsidRPr="009966D6" w:rsidRDefault="005E494F" w:rsidP="00450E0B">
      <w:pPr>
        <w:pStyle w:val="Tekstpodstawowy2"/>
        <w:numPr>
          <w:ilvl w:val="0"/>
          <w:numId w:val="35"/>
        </w:numPr>
        <w:autoSpaceDN/>
        <w:spacing w:after="240" w:line="360" w:lineRule="auto"/>
        <w:jc w:val="both"/>
        <w:rPr>
          <w:color w:val="000000" w:themeColor="text1"/>
          <w:sz w:val="24"/>
        </w:rPr>
      </w:pPr>
      <w:r w:rsidRPr="004C524F">
        <w:rPr>
          <w:b/>
          <w:color w:val="000000" w:themeColor="text1"/>
          <w:sz w:val="24"/>
        </w:rPr>
        <w:t>Wskaźnik zyskowności aktywów</w:t>
      </w:r>
      <w:r w:rsidRPr="004C524F">
        <w:rPr>
          <w:color w:val="000000" w:themeColor="text1"/>
          <w:sz w:val="24"/>
        </w:rPr>
        <w:t xml:space="preserve"> (%) informuje o wielkości zysku lub straty przypadającej na jednostkę wartości zaangażowanych w podmiocie aktywów.</w:t>
      </w:r>
      <w:r w:rsidR="00830D91" w:rsidRPr="009966D6">
        <w:rPr>
          <w:color w:val="000000" w:themeColor="text1"/>
          <w:sz w:val="24"/>
        </w:rPr>
        <w:t xml:space="preserve"> </w:t>
      </w:r>
      <w:r w:rsidRPr="009966D6">
        <w:rPr>
          <w:color w:val="000000" w:themeColor="text1"/>
          <w:sz w:val="24"/>
        </w:rPr>
        <w:lastRenderedPageBreak/>
        <w:t>Wskaźnik ten w roku 202</w:t>
      </w:r>
      <w:r w:rsidR="009966D6" w:rsidRPr="009966D6">
        <w:rPr>
          <w:color w:val="000000" w:themeColor="text1"/>
          <w:sz w:val="24"/>
        </w:rPr>
        <w:t>4</w:t>
      </w:r>
      <w:r w:rsidRPr="009966D6">
        <w:rPr>
          <w:color w:val="000000" w:themeColor="text1"/>
          <w:sz w:val="24"/>
        </w:rPr>
        <w:t xml:space="preserve"> wyniósł </w:t>
      </w:r>
      <w:r w:rsidR="009966D6" w:rsidRPr="009966D6">
        <w:rPr>
          <w:color w:val="000000" w:themeColor="text1"/>
          <w:sz w:val="24"/>
        </w:rPr>
        <w:t>-5,96</w:t>
      </w:r>
      <w:r w:rsidR="009F09BE" w:rsidRPr="009966D6">
        <w:rPr>
          <w:color w:val="000000" w:themeColor="text1"/>
          <w:sz w:val="24"/>
        </w:rPr>
        <w:t xml:space="preserve"> </w:t>
      </w:r>
      <w:r w:rsidRPr="009966D6">
        <w:rPr>
          <w:color w:val="000000" w:themeColor="text1"/>
          <w:sz w:val="24"/>
        </w:rPr>
        <w:t>%</w:t>
      </w:r>
      <w:r w:rsidR="007C17B7" w:rsidRPr="009966D6">
        <w:rPr>
          <w:color w:val="000000" w:themeColor="text1"/>
          <w:sz w:val="24"/>
        </w:rPr>
        <w:t>.</w:t>
      </w:r>
      <w:r w:rsidR="00E25378" w:rsidRPr="009966D6">
        <w:rPr>
          <w:color w:val="000000" w:themeColor="text1"/>
          <w:sz w:val="24"/>
        </w:rPr>
        <w:t xml:space="preserve"> </w:t>
      </w:r>
      <w:r w:rsidR="009966D6" w:rsidRPr="009966D6">
        <w:rPr>
          <w:color w:val="000000" w:themeColor="text1"/>
          <w:sz w:val="24"/>
        </w:rPr>
        <w:t xml:space="preserve">Wartość tego wskaźnika uległa pogorszeniu w stosunku do roku </w:t>
      </w:r>
      <w:r w:rsidRPr="009966D6">
        <w:rPr>
          <w:color w:val="000000" w:themeColor="text1"/>
          <w:sz w:val="24"/>
        </w:rPr>
        <w:t>20</w:t>
      </w:r>
      <w:r w:rsidR="00C336D6" w:rsidRPr="009966D6">
        <w:rPr>
          <w:color w:val="000000" w:themeColor="text1"/>
          <w:sz w:val="24"/>
        </w:rPr>
        <w:t>2</w:t>
      </w:r>
      <w:r w:rsidR="009966D6" w:rsidRPr="009966D6">
        <w:rPr>
          <w:color w:val="000000" w:themeColor="text1"/>
          <w:sz w:val="24"/>
        </w:rPr>
        <w:t>3</w:t>
      </w:r>
      <w:r w:rsidRPr="009966D6">
        <w:rPr>
          <w:color w:val="000000" w:themeColor="text1"/>
          <w:sz w:val="24"/>
        </w:rPr>
        <w:t xml:space="preserve"> z poziomu </w:t>
      </w:r>
      <w:r w:rsidR="009966D6" w:rsidRPr="009966D6">
        <w:rPr>
          <w:color w:val="000000" w:themeColor="text1"/>
          <w:sz w:val="24"/>
        </w:rPr>
        <w:t>0,02</w:t>
      </w:r>
      <w:r w:rsidR="009F09BE" w:rsidRPr="009966D6">
        <w:rPr>
          <w:color w:val="000000" w:themeColor="text1"/>
          <w:sz w:val="24"/>
        </w:rPr>
        <w:t xml:space="preserve"> </w:t>
      </w:r>
      <w:r w:rsidRPr="009966D6">
        <w:rPr>
          <w:color w:val="000000" w:themeColor="text1"/>
          <w:sz w:val="24"/>
        </w:rPr>
        <w:t>%.</w:t>
      </w:r>
    </w:p>
    <w:p w14:paraId="3F5E5342" w14:textId="0F472D5E" w:rsidR="005E494F" w:rsidRPr="009966D6" w:rsidRDefault="005E494F">
      <w:pPr>
        <w:pStyle w:val="Tekstpodstawowy2"/>
        <w:numPr>
          <w:ilvl w:val="0"/>
          <w:numId w:val="39"/>
        </w:numPr>
        <w:autoSpaceDN/>
        <w:spacing w:line="360" w:lineRule="auto"/>
        <w:jc w:val="both"/>
        <w:rPr>
          <w:color w:val="000000" w:themeColor="text1"/>
          <w:sz w:val="24"/>
        </w:rPr>
      </w:pPr>
      <w:r w:rsidRPr="009966D6">
        <w:rPr>
          <w:b/>
          <w:color w:val="000000" w:themeColor="text1"/>
          <w:sz w:val="24"/>
        </w:rPr>
        <w:t>Wskaźniki płynności</w:t>
      </w:r>
      <w:r w:rsidRPr="009966D6">
        <w:rPr>
          <w:color w:val="000000" w:themeColor="text1"/>
          <w:sz w:val="24"/>
        </w:rPr>
        <w:t xml:space="preserve"> określają zdolność podmiotu do terminowego regulowania zaciągniętych zobowiązań krótkoterminowych. Jeżeli poziom wskaźników obniża się, to występuje ryzyko utraty przez podmiot zdolności do terminowego regulowania zobowiązań. W przypadku gdy wskaźniki są zbyt wysokie, może to świadczyć </w:t>
      </w:r>
      <w:r w:rsidR="009F09BE" w:rsidRPr="009966D6">
        <w:rPr>
          <w:color w:val="000000" w:themeColor="text1"/>
          <w:sz w:val="24"/>
        </w:rPr>
        <w:br/>
      </w:r>
      <w:r w:rsidRPr="009966D6">
        <w:rPr>
          <w:color w:val="000000" w:themeColor="text1"/>
          <w:sz w:val="24"/>
        </w:rPr>
        <w:t>o nieefektywnym gospodarowaniu posiadanymi środkami obrotowymi, takimi jak zapasy, należności lub środki finansowe.</w:t>
      </w:r>
      <w:r w:rsidR="00E67D95" w:rsidRPr="009966D6">
        <w:rPr>
          <w:color w:val="000000" w:themeColor="text1"/>
          <w:sz w:val="24"/>
        </w:rPr>
        <w:t xml:space="preserve"> </w:t>
      </w:r>
    </w:p>
    <w:p w14:paraId="20ACD216" w14:textId="2D7CEC4D" w:rsidR="005E494F" w:rsidRPr="000363B5" w:rsidRDefault="005E494F">
      <w:pPr>
        <w:pStyle w:val="Tekstpodstawowy2"/>
        <w:numPr>
          <w:ilvl w:val="0"/>
          <w:numId w:val="36"/>
        </w:numPr>
        <w:autoSpaceDN/>
        <w:spacing w:line="360" w:lineRule="auto"/>
        <w:jc w:val="both"/>
        <w:rPr>
          <w:sz w:val="24"/>
        </w:rPr>
      </w:pPr>
      <w:r w:rsidRPr="000363B5">
        <w:rPr>
          <w:b/>
          <w:sz w:val="24"/>
        </w:rPr>
        <w:t>Wskaźnik bieżącej płynności</w:t>
      </w:r>
      <w:r w:rsidRPr="000363B5">
        <w:rPr>
          <w:sz w:val="24"/>
        </w:rPr>
        <w:t xml:space="preserve"> określa zdolność podmiotu do spłaty zobowiązań krótkoterminowych poprzez upłynnienie wszystkich środków obrotowych.</w:t>
      </w:r>
      <w:r w:rsidR="004C5EA8" w:rsidRPr="000363B5">
        <w:rPr>
          <w:sz w:val="24"/>
        </w:rPr>
        <w:t xml:space="preserve"> Wskaźnik ten informuje</w:t>
      </w:r>
      <w:r w:rsidR="00BF4AA6" w:rsidRPr="000363B5">
        <w:rPr>
          <w:sz w:val="24"/>
        </w:rPr>
        <w:t>, w jakim stopniu aktywa obrotowe pokrywają zobowiązania krótkoterminowe. Daje ogólny pogląd na płynność finansową podmiotu. Wskaźnik ten ukazuje bowiem, czy podmiot jest w stanie spłacić całość zobowiązań krótkoterminowych przez upłynnienie wszystkich posiadanych składników aktywów.</w:t>
      </w:r>
      <w:r w:rsidRPr="000363B5">
        <w:rPr>
          <w:sz w:val="24"/>
        </w:rPr>
        <w:t xml:space="preserve"> </w:t>
      </w:r>
      <w:r w:rsidRPr="000363B5">
        <w:rPr>
          <w:sz w:val="24"/>
        </w:rPr>
        <w:br/>
        <w:t>Wskaźnik bieżącej płynności na 31 grudnia 202</w:t>
      </w:r>
      <w:r w:rsidR="000363B5" w:rsidRPr="000363B5">
        <w:rPr>
          <w:sz w:val="24"/>
        </w:rPr>
        <w:t>4</w:t>
      </w:r>
      <w:r w:rsidR="009F09BE" w:rsidRPr="000363B5">
        <w:rPr>
          <w:sz w:val="24"/>
        </w:rPr>
        <w:t xml:space="preserve"> roku</w:t>
      </w:r>
      <w:r w:rsidRPr="000363B5">
        <w:rPr>
          <w:sz w:val="24"/>
        </w:rPr>
        <w:t xml:space="preserve"> wynosi 0,</w:t>
      </w:r>
      <w:r w:rsidR="000363B5" w:rsidRPr="000363B5">
        <w:rPr>
          <w:sz w:val="24"/>
        </w:rPr>
        <w:t>41</w:t>
      </w:r>
      <w:r w:rsidRPr="000363B5">
        <w:rPr>
          <w:sz w:val="24"/>
        </w:rPr>
        <w:t xml:space="preserve"> – aktywa obrotowe pomniejszone o rozliczenia międzyokresowe stanowią </w:t>
      </w:r>
      <w:r w:rsidR="000363B5" w:rsidRPr="000363B5">
        <w:rPr>
          <w:sz w:val="24"/>
        </w:rPr>
        <w:t>41</w:t>
      </w:r>
      <w:r w:rsidR="009F09BE" w:rsidRPr="000363B5">
        <w:rPr>
          <w:sz w:val="24"/>
        </w:rPr>
        <w:t xml:space="preserve"> </w:t>
      </w:r>
      <w:r w:rsidRPr="000363B5">
        <w:rPr>
          <w:sz w:val="24"/>
        </w:rPr>
        <w:t xml:space="preserve">% zobowiązań i rezerw krótkoterminowych. Wartość wskaźnika jest nieznacznie </w:t>
      </w:r>
      <w:r w:rsidR="00E25378" w:rsidRPr="000363B5">
        <w:rPr>
          <w:sz w:val="24"/>
        </w:rPr>
        <w:t>wy</w:t>
      </w:r>
      <w:r w:rsidR="00E46253" w:rsidRPr="000363B5">
        <w:rPr>
          <w:sz w:val="24"/>
        </w:rPr>
        <w:t>ższa</w:t>
      </w:r>
      <w:r w:rsidRPr="000363B5">
        <w:rPr>
          <w:sz w:val="24"/>
        </w:rPr>
        <w:t xml:space="preserve"> niż</w:t>
      </w:r>
      <w:r w:rsidR="002C5C1D" w:rsidRPr="000363B5">
        <w:rPr>
          <w:sz w:val="24"/>
        </w:rPr>
        <w:t xml:space="preserve"> </w:t>
      </w:r>
      <w:r w:rsidRPr="000363B5">
        <w:rPr>
          <w:sz w:val="24"/>
        </w:rPr>
        <w:t xml:space="preserve">w roku poprzednim, kiedy to osiągnęła </w:t>
      </w:r>
      <w:r w:rsidR="00E25378" w:rsidRPr="000363B5">
        <w:rPr>
          <w:sz w:val="24"/>
        </w:rPr>
        <w:t>3</w:t>
      </w:r>
      <w:r w:rsidR="000363B5" w:rsidRPr="000363B5">
        <w:rPr>
          <w:sz w:val="24"/>
        </w:rPr>
        <w:t>8</w:t>
      </w:r>
      <w:r w:rsidR="009F09BE" w:rsidRPr="000363B5">
        <w:rPr>
          <w:sz w:val="24"/>
        </w:rPr>
        <w:t xml:space="preserve"> </w:t>
      </w:r>
      <w:r w:rsidRPr="000363B5">
        <w:rPr>
          <w:sz w:val="24"/>
        </w:rPr>
        <w:t>%.</w:t>
      </w:r>
    </w:p>
    <w:p w14:paraId="210457EE" w14:textId="55C2FBD8" w:rsidR="005E494F" w:rsidRPr="000363B5" w:rsidRDefault="005E494F">
      <w:pPr>
        <w:pStyle w:val="Tekstpodstawowy2"/>
        <w:numPr>
          <w:ilvl w:val="0"/>
          <w:numId w:val="36"/>
        </w:numPr>
        <w:autoSpaceDN/>
        <w:spacing w:after="240" w:line="360" w:lineRule="auto"/>
        <w:jc w:val="both"/>
        <w:rPr>
          <w:sz w:val="24"/>
        </w:rPr>
      </w:pPr>
      <w:r w:rsidRPr="000363B5">
        <w:rPr>
          <w:b/>
          <w:sz w:val="24"/>
        </w:rPr>
        <w:t>Wskaźnik szybkiej płynności</w:t>
      </w:r>
      <w:r w:rsidRPr="000363B5">
        <w:rPr>
          <w:sz w:val="24"/>
        </w:rPr>
        <w:t xml:space="preserve"> określa zdolność podmiotu do spłacania zobowiązań krótkoterminowych najbardziej płynnymi aktywami, tj. krótkoterminowymi należnościami i aktywami finansowymi.</w:t>
      </w:r>
      <w:r w:rsidR="009F09BE" w:rsidRPr="000363B5">
        <w:rPr>
          <w:sz w:val="24"/>
        </w:rPr>
        <w:t xml:space="preserve"> </w:t>
      </w:r>
      <w:r w:rsidR="002C5C1D" w:rsidRPr="000363B5">
        <w:rPr>
          <w:sz w:val="24"/>
        </w:rPr>
        <w:t>Poziom w</w:t>
      </w:r>
      <w:r w:rsidRPr="000363B5">
        <w:rPr>
          <w:sz w:val="24"/>
        </w:rPr>
        <w:t>skaźnik</w:t>
      </w:r>
      <w:r w:rsidR="002C5C1D" w:rsidRPr="000363B5">
        <w:rPr>
          <w:sz w:val="24"/>
        </w:rPr>
        <w:t>a</w:t>
      </w:r>
      <w:r w:rsidRPr="000363B5">
        <w:rPr>
          <w:sz w:val="24"/>
        </w:rPr>
        <w:t xml:space="preserve"> szybkiej płynności</w:t>
      </w:r>
      <w:r w:rsidR="007619AF" w:rsidRPr="000363B5">
        <w:rPr>
          <w:sz w:val="24"/>
        </w:rPr>
        <w:t xml:space="preserve">, </w:t>
      </w:r>
      <w:r w:rsidR="002C5C1D" w:rsidRPr="000363B5">
        <w:rPr>
          <w:sz w:val="24"/>
        </w:rPr>
        <w:t>podobnie jak w przypadku wskaźnika bieżącej płynności jest niekorzystny,</w:t>
      </w:r>
      <w:r w:rsidRPr="000363B5">
        <w:rPr>
          <w:sz w:val="24"/>
        </w:rPr>
        <w:t xml:space="preserve"> wynosi 0,3</w:t>
      </w:r>
      <w:r w:rsidR="000363B5" w:rsidRPr="000363B5">
        <w:rPr>
          <w:sz w:val="24"/>
        </w:rPr>
        <w:t>7</w:t>
      </w:r>
      <w:r w:rsidRPr="000363B5">
        <w:rPr>
          <w:sz w:val="24"/>
        </w:rPr>
        <w:t xml:space="preserve">. Należności krótkoterminowe oraz środki na rachunkach i w kasie SPZZOZ </w:t>
      </w:r>
      <w:r w:rsidR="009F09BE" w:rsidRPr="000363B5">
        <w:rPr>
          <w:sz w:val="24"/>
        </w:rPr>
        <w:br/>
      </w:r>
      <w:r w:rsidRPr="000363B5">
        <w:rPr>
          <w:sz w:val="24"/>
        </w:rPr>
        <w:t>w Wyszkowie wystarczyłyby na spłatę 3</w:t>
      </w:r>
      <w:r w:rsidR="000363B5" w:rsidRPr="000363B5">
        <w:rPr>
          <w:sz w:val="24"/>
        </w:rPr>
        <w:t>7</w:t>
      </w:r>
      <w:r w:rsidR="009F09BE" w:rsidRPr="000363B5">
        <w:rPr>
          <w:sz w:val="24"/>
        </w:rPr>
        <w:t xml:space="preserve"> </w:t>
      </w:r>
      <w:r w:rsidRPr="000363B5">
        <w:rPr>
          <w:sz w:val="24"/>
        </w:rPr>
        <w:t xml:space="preserve">% zobowiązań i rezerw krótkoterminowych. Wartość wskaźnika  jest </w:t>
      </w:r>
      <w:r w:rsidR="00E67D95" w:rsidRPr="000363B5">
        <w:rPr>
          <w:sz w:val="24"/>
        </w:rPr>
        <w:t>zbliżona</w:t>
      </w:r>
      <w:r w:rsidR="007619AF" w:rsidRPr="000363B5">
        <w:rPr>
          <w:sz w:val="24"/>
        </w:rPr>
        <w:t>,</w:t>
      </w:r>
      <w:r w:rsidR="000D6B4F" w:rsidRPr="000363B5">
        <w:rPr>
          <w:sz w:val="24"/>
        </w:rPr>
        <w:t xml:space="preserve"> jak</w:t>
      </w:r>
      <w:r w:rsidRPr="000363B5">
        <w:rPr>
          <w:sz w:val="24"/>
        </w:rPr>
        <w:t xml:space="preserve"> w roku poprzednim.</w:t>
      </w:r>
    </w:p>
    <w:p w14:paraId="3EAE194E" w14:textId="27779858" w:rsidR="005E494F" w:rsidRPr="00B22660" w:rsidRDefault="005E494F">
      <w:pPr>
        <w:pStyle w:val="Standard"/>
        <w:numPr>
          <w:ilvl w:val="0"/>
          <w:numId w:val="53"/>
        </w:numPr>
        <w:spacing w:line="360" w:lineRule="auto"/>
        <w:jc w:val="both"/>
      </w:pPr>
      <w:r w:rsidRPr="00B22660">
        <w:rPr>
          <w:b/>
        </w:rPr>
        <w:t>Wskaźnik</w:t>
      </w:r>
      <w:r w:rsidR="00195AF3" w:rsidRPr="00B22660">
        <w:rPr>
          <w:b/>
        </w:rPr>
        <w:t>i</w:t>
      </w:r>
      <w:r w:rsidRPr="00B22660">
        <w:rPr>
          <w:b/>
        </w:rPr>
        <w:t xml:space="preserve"> efektywności </w:t>
      </w:r>
      <w:r w:rsidRPr="00B22660">
        <w:rPr>
          <w:bCs/>
        </w:rPr>
        <w:t>mówią o okresie rotacji rozliczeń z kontrahentami</w:t>
      </w:r>
      <w:r w:rsidR="00195AF3" w:rsidRPr="00B22660">
        <w:rPr>
          <w:bCs/>
        </w:rPr>
        <w:t>, mogą sygnalizować ryzyko utraty płynności finansowej.</w:t>
      </w:r>
      <w:r w:rsidRPr="00B22660">
        <w:rPr>
          <w:bCs/>
        </w:rPr>
        <w:t xml:space="preserve"> Odpowiedni</w:t>
      </w:r>
      <w:r w:rsidR="00E7068E" w:rsidRPr="00B22660">
        <w:rPr>
          <w:bCs/>
        </w:rPr>
        <w:t>a</w:t>
      </w:r>
      <w:r w:rsidRPr="00B22660">
        <w:rPr>
          <w:bCs/>
        </w:rPr>
        <w:t xml:space="preserve"> </w:t>
      </w:r>
      <w:r w:rsidR="00E7068E" w:rsidRPr="00B22660">
        <w:rPr>
          <w:bCs/>
        </w:rPr>
        <w:t>równowaga</w:t>
      </w:r>
      <w:r w:rsidRPr="00B22660">
        <w:rPr>
          <w:bCs/>
        </w:rPr>
        <w:t xml:space="preserve"> tych wskaźników obniża  koszt działania jednostki.</w:t>
      </w:r>
      <w:r w:rsidR="00E67D95" w:rsidRPr="00B22660">
        <w:rPr>
          <w:bCs/>
        </w:rPr>
        <w:t xml:space="preserve"> Wskaźnik rotacji należności pozostaje </w:t>
      </w:r>
      <w:r w:rsidR="00551420" w:rsidRPr="00B22660">
        <w:rPr>
          <w:bCs/>
        </w:rPr>
        <w:br/>
      </w:r>
      <w:r w:rsidR="00E67D95" w:rsidRPr="00B22660">
        <w:rPr>
          <w:bCs/>
        </w:rPr>
        <w:t xml:space="preserve">na </w:t>
      </w:r>
      <w:r w:rsidR="00716B29" w:rsidRPr="00B22660">
        <w:rPr>
          <w:bCs/>
        </w:rPr>
        <w:t xml:space="preserve">zbliżonym </w:t>
      </w:r>
      <w:r w:rsidR="00E67D95" w:rsidRPr="00B22660">
        <w:rPr>
          <w:bCs/>
        </w:rPr>
        <w:t>poziomie</w:t>
      </w:r>
      <w:r w:rsidR="00716B29" w:rsidRPr="00B22660">
        <w:rPr>
          <w:bCs/>
        </w:rPr>
        <w:t>, jak w roku</w:t>
      </w:r>
      <w:r w:rsidR="00E67D95" w:rsidRPr="00B22660">
        <w:rPr>
          <w:bCs/>
        </w:rPr>
        <w:t xml:space="preserve"> ubiegły</w:t>
      </w:r>
      <w:r w:rsidR="00716B29" w:rsidRPr="00B22660">
        <w:rPr>
          <w:bCs/>
        </w:rPr>
        <w:t>m</w:t>
      </w:r>
      <w:r w:rsidR="00E67D95" w:rsidRPr="00B22660">
        <w:rPr>
          <w:bCs/>
        </w:rPr>
        <w:t xml:space="preserve">, </w:t>
      </w:r>
      <w:r w:rsidR="00B42CE2" w:rsidRPr="00B22660">
        <w:rPr>
          <w:bCs/>
        </w:rPr>
        <w:t xml:space="preserve">wskaźnik rotacji zobowiązań uległ poprawie o </w:t>
      </w:r>
      <w:r w:rsidR="00B22660" w:rsidRPr="00B22660">
        <w:rPr>
          <w:bCs/>
        </w:rPr>
        <w:t>2</w:t>
      </w:r>
      <w:r w:rsidR="00B42CE2" w:rsidRPr="00B22660">
        <w:rPr>
          <w:bCs/>
        </w:rPr>
        <w:t xml:space="preserve"> dni.</w:t>
      </w:r>
      <w:r w:rsidR="009C33B9" w:rsidRPr="00B22660">
        <w:rPr>
          <w:bCs/>
        </w:rPr>
        <w:t xml:space="preserve"> </w:t>
      </w:r>
      <w:r w:rsidR="009C33B9" w:rsidRPr="00B22660">
        <w:t xml:space="preserve">Ocena wskaźników efektywności osiąga maksymalną wartość 10 punktów. </w:t>
      </w:r>
    </w:p>
    <w:p w14:paraId="380DA8FE" w14:textId="48E6ABEC" w:rsidR="005E494F" w:rsidRPr="009966D6" w:rsidRDefault="005E494F">
      <w:pPr>
        <w:pStyle w:val="Tekstpodstawowy2"/>
        <w:numPr>
          <w:ilvl w:val="0"/>
          <w:numId w:val="37"/>
        </w:numPr>
        <w:autoSpaceDN/>
        <w:spacing w:line="360" w:lineRule="auto"/>
        <w:jc w:val="both"/>
        <w:rPr>
          <w:color w:val="000000" w:themeColor="text1"/>
          <w:sz w:val="24"/>
        </w:rPr>
      </w:pPr>
      <w:r w:rsidRPr="00B22660">
        <w:rPr>
          <w:b/>
          <w:sz w:val="24"/>
        </w:rPr>
        <w:t xml:space="preserve">Wskaźnik rotacji należności </w:t>
      </w:r>
      <w:r w:rsidR="003C0D23" w:rsidRPr="00B22660">
        <w:rPr>
          <w:b/>
          <w:sz w:val="24"/>
        </w:rPr>
        <w:t>(</w:t>
      </w:r>
      <w:r w:rsidRPr="00B22660">
        <w:rPr>
          <w:b/>
          <w:sz w:val="24"/>
        </w:rPr>
        <w:t>w dniach</w:t>
      </w:r>
      <w:r w:rsidR="003C0D23" w:rsidRPr="00B22660">
        <w:rPr>
          <w:b/>
          <w:sz w:val="24"/>
        </w:rPr>
        <w:t>)</w:t>
      </w:r>
      <w:r w:rsidRPr="00B22660">
        <w:rPr>
          <w:sz w:val="24"/>
        </w:rPr>
        <w:t xml:space="preserve"> określa długość cyklu oczekiwania podmiotu </w:t>
      </w:r>
      <w:r w:rsidRPr="009966D6">
        <w:rPr>
          <w:color w:val="000000" w:themeColor="text1"/>
          <w:sz w:val="24"/>
        </w:rPr>
        <w:t xml:space="preserve">na uzyskanie należności za świadczone usługi. </w:t>
      </w:r>
      <w:r w:rsidR="00195AF3" w:rsidRPr="009966D6">
        <w:rPr>
          <w:color w:val="000000" w:themeColor="text1"/>
          <w:sz w:val="24"/>
        </w:rPr>
        <w:t xml:space="preserve">Informuje, w ciągu ilu dni następuje </w:t>
      </w:r>
      <w:r w:rsidR="00195AF3" w:rsidRPr="009966D6">
        <w:rPr>
          <w:color w:val="000000" w:themeColor="text1"/>
          <w:sz w:val="24"/>
        </w:rPr>
        <w:lastRenderedPageBreak/>
        <w:t xml:space="preserve">spłata należności. </w:t>
      </w:r>
      <w:r w:rsidRPr="009966D6">
        <w:rPr>
          <w:color w:val="000000" w:themeColor="text1"/>
          <w:sz w:val="24"/>
        </w:rPr>
        <w:t xml:space="preserve">Im wyższy poziom wskaźnika, tym podmiot ma większe trudności </w:t>
      </w:r>
      <w:r w:rsidR="007619AF" w:rsidRPr="009966D6">
        <w:rPr>
          <w:color w:val="000000" w:themeColor="text1"/>
          <w:sz w:val="24"/>
        </w:rPr>
        <w:br/>
      </w:r>
      <w:r w:rsidRPr="009966D6">
        <w:rPr>
          <w:color w:val="000000" w:themeColor="text1"/>
          <w:sz w:val="24"/>
        </w:rPr>
        <w:t>ze ściągalnością swoich należności</w:t>
      </w:r>
      <w:r w:rsidR="00D37301" w:rsidRPr="009966D6">
        <w:rPr>
          <w:color w:val="000000" w:themeColor="text1"/>
          <w:sz w:val="24"/>
        </w:rPr>
        <w:t>, co może obniżyć zdolność do terminowego regulowania zobowiązań.</w:t>
      </w:r>
      <w:r w:rsidR="003C0D23" w:rsidRPr="009966D6">
        <w:rPr>
          <w:color w:val="000000" w:themeColor="text1"/>
          <w:sz w:val="24"/>
        </w:rPr>
        <w:t xml:space="preserve"> </w:t>
      </w:r>
      <w:r w:rsidR="004E32B1" w:rsidRPr="009966D6">
        <w:rPr>
          <w:color w:val="000000" w:themeColor="text1"/>
          <w:sz w:val="24"/>
        </w:rPr>
        <w:t xml:space="preserve">Obrót należnościami w dniach </w:t>
      </w:r>
      <w:r w:rsidR="00864964" w:rsidRPr="009966D6">
        <w:rPr>
          <w:color w:val="000000" w:themeColor="text1"/>
          <w:sz w:val="24"/>
        </w:rPr>
        <w:t xml:space="preserve">pozostaje na podobnym poziomie </w:t>
      </w:r>
      <w:r w:rsidR="005A5AB6" w:rsidRPr="009966D6">
        <w:rPr>
          <w:color w:val="000000" w:themeColor="text1"/>
          <w:sz w:val="24"/>
        </w:rPr>
        <w:t>i</w:t>
      </w:r>
      <w:r w:rsidR="00864964" w:rsidRPr="009966D6">
        <w:rPr>
          <w:color w:val="000000" w:themeColor="text1"/>
          <w:sz w:val="24"/>
        </w:rPr>
        <w:t xml:space="preserve"> </w:t>
      </w:r>
      <w:r w:rsidR="004E32B1" w:rsidRPr="009966D6">
        <w:rPr>
          <w:color w:val="000000" w:themeColor="text1"/>
          <w:sz w:val="24"/>
        </w:rPr>
        <w:t>zmienił się z 3</w:t>
      </w:r>
      <w:r w:rsidR="009966D6" w:rsidRPr="009966D6">
        <w:rPr>
          <w:color w:val="000000" w:themeColor="text1"/>
          <w:sz w:val="24"/>
        </w:rPr>
        <w:t>3</w:t>
      </w:r>
      <w:r w:rsidR="004E32B1" w:rsidRPr="009966D6">
        <w:rPr>
          <w:color w:val="000000" w:themeColor="text1"/>
          <w:sz w:val="24"/>
        </w:rPr>
        <w:t xml:space="preserve"> dni w 202</w:t>
      </w:r>
      <w:r w:rsidR="009966D6" w:rsidRPr="009966D6">
        <w:rPr>
          <w:color w:val="000000" w:themeColor="text1"/>
          <w:sz w:val="24"/>
        </w:rPr>
        <w:t>3</w:t>
      </w:r>
      <w:r w:rsidR="004E32B1" w:rsidRPr="009966D6">
        <w:rPr>
          <w:color w:val="000000" w:themeColor="text1"/>
          <w:sz w:val="24"/>
        </w:rPr>
        <w:t xml:space="preserve"> roku do 3</w:t>
      </w:r>
      <w:r w:rsidR="009966D6" w:rsidRPr="009966D6">
        <w:rPr>
          <w:color w:val="000000" w:themeColor="text1"/>
          <w:sz w:val="24"/>
        </w:rPr>
        <w:t>1</w:t>
      </w:r>
      <w:r w:rsidR="004E32B1" w:rsidRPr="009966D6">
        <w:rPr>
          <w:color w:val="000000" w:themeColor="text1"/>
          <w:sz w:val="24"/>
        </w:rPr>
        <w:t xml:space="preserve"> dni w roku 202</w:t>
      </w:r>
      <w:r w:rsidR="009966D6" w:rsidRPr="009966D6">
        <w:rPr>
          <w:color w:val="000000" w:themeColor="text1"/>
          <w:sz w:val="24"/>
        </w:rPr>
        <w:t>4</w:t>
      </w:r>
      <w:r w:rsidR="004E32B1" w:rsidRPr="009966D6">
        <w:rPr>
          <w:color w:val="000000" w:themeColor="text1"/>
          <w:sz w:val="24"/>
        </w:rPr>
        <w:t xml:space="preserve">. </w:t>
      </w:r>
      <w:r w:rsidRPr="009966D6">
        <w:rPr>
          <w:color w:val="000000" w:themeColor="text1"/>
          <w:sz w:val="24"/>
        </w:rPr>
        <w:t>Wskaźnik nie jest wysoki co oznacza, że SPZZOZ w Wyszkowie nie ma trudności</w:t>
      </w:r>
      <w:r w:rsidR="00D37301" w:rsidRPr="009966D6">
        <w:rPr>
          <w:color w:val="000000" w:themeColor="text1"/>
          <w:sz w:val="24"/>
        </w:rPr>
        <w:t xml:space="preserve"> </w:t>
      </w:r>
      <w:r w:rsidRPr="009966D6">
        <w:rPr>
          <w:color w:val="000000" w:themeColor="text1"/>
          <w:sz w:val="24"/>
        </w:rPr>
        <w:t>ze ściągalnością swoich należności</w:t>
      </w:r>
      <w:r w:rsidR="004E32B1" w:rsidRPr="009966D6">
        <w:rPr>
          <w:color w:val="000000" w:themeColor="text1"/>
          <w:sz w:val="24"/>
        </w:rPr>
        <w:t>.</w:t>
      </w:r>
      <w:r w:rsidR="009C3519" w:rsidRPr="009966D6">
        <w:rPr>
          <w:color w:val="000000" w:themeColor="text1"/>
          <w:sz w:val="24"/>
        </w:rPr>
        <w:t xml:space="preserve"> </w:t>
      </w:r>
    </w:p>
    <w:p w14:paraId="78A5EFE1" w14:textId="586E9789" w:rsidR="005E494F" w:rsidRPr="006511DB" w:rsidRDefault="005E494F">
      <w:pPr>
        <w:pStyle w:val="Tekstpodstawowy2"/>
        <w:numPr>
          <w:ilvl w:val="0"/>
          <w:numId w:val="37"/>
        </w:numPr>
        <w:autoSpaceDN/>
        <w:spacing w:after="240" w:line="360" w:lineRule="auto"/>
        <w:jc w:val="both"/>
        <w:rPr>
          <w:color w:val="000000" w:themeColor="text1"/>
          <w:sz w:val="24"/>
        </w:rPr>
      </w:pPr>
      <w:r w:rsidRPr="006511DB">
        <w:rPr>
          <w:b/>
          <w:color w:val="000000" w:themeColor="text1"/>
          <w:sz w:val="24"/>
        </w:rPr>
        <w:t>Wskaźnik rotacji zobowiązań (w dniach)</w:t>
      </w:r>
      <w:r w:rsidRPr="006511DB">
        <w:rPr>
          <w:color w:val="000000" w:themeColor="text1"/>
          <w:sz w:val="24"/>
        </w:rPr>
        <w:t xml:space="preserve"> określa okres, jaki jest potrzebny podmiotowi do spłacenia swoich zobowiązań krótkoterminowych. Zbyt wysoka wartość wskaźnika może świadczyć o trudnościach podmiotu w regulowaniu swoich bieżących zobowiązań. </w:t>
      </w:r>
      <w:r w:rsidR="004E32B1" w:rsidRPr="006511DB">
        <w:rPr>
          <w:color w:val="000000" w:themeColor="text1"/>
          <w:sz w:val="24"/>
        </w:rPr>
        <w:t xml:space="preserve">Obrót zobowiązaniami w dniach zmienił się z </w:t>
      </w:r>
      <w:r w:rsidR="00716B29" w:rsidRPr="006511DB">
        <w:rPr>
          <w:color w:val="000000" w:themeColor="text1"/>
          <w:sz w:val="24"/>
        </w:rPr>
        <w:t>2</w:t>
      </w:r>
      <w:r w:rsidR="009966D6" w:rsidRPr="006511DB">
        <w:rPr>
          <w:color w:val="000000" w:themeColor="text1"/>
          <w:sz w:val="24"/>
        </w:rPr>
        <w:t>4</w:t>
      </w:r>
      <w:r w:rsidR="004E32B1" w:rsidRPr="006511DB">
        <w:rPr>
          <w:color w:val="000000" w:themeColor="text1"/>
          <w:sz w:val="24"/>
        </w:rPr>
        <w:t xml:space="preserve"> dni w 202</w:t>
      </w:r>
      <w:r w:rsidR="009966D6" w:rsidRPr="006511DB">
        <w:rPr>
          <w:color w:val="000000" w:themeColor="text1"/>
          <w:sz w:val="24"/>
        </w:rPr>
        <w:t>3</w:t>
      </w:r>
      <w:r w:rsidR="004E32B1" w:rsidRPr="006511DB">
        <w:rPr>
          <w:color w:val="000000" w:themeColor="text1"/>
          <w:sz w:val="24"/>
        </w:rPr>
        <w:t xml:space="preserve"> </w:t>
      </w:r>
      <w:r w:rsidR="004916CE" w:rsidRPr="006511DB">
        <w:rPr>
          <w:color w:val="000000" w:themeColor="text1"/>
          <w:sz w:val="24"/>
        </w:rPr>
        <w:t xml:space="preserve">roku </w:t>
      </w:r>
      <w:r w:rsidR="004E32B1" w:rsidRPr="006511DB">
        <w:rPr>
          <w:color w:val="000000" w:themeColor="text1"/>
          <w:sz w:val="24"/>
        </w:rPr>
        <w:t xml:space="preserve">do </w:t>
      </w:r>
      <w:r w:rsidR="009966D6" w:rsidRPr="006511DB">
        <w:rPr>
          <w:color w:val="000000" w:themeColor="text1"/>
          <w:sz w:val="24"/>
        </w:rPr>
        <w:t>28</w:t>
      </w:r>
      <w:r w:rsidR="004E32B1" w:rsidRPr="006511DB">
        <w:rPr>
          <w:color w:val="000000" w:themeColor="text1"/>
          <w:sz w:val="24"/>
        </w:rPr>
        <w:t xml:space="preserve"> dni w 202</w:t>
      </w:r>
      <w:r w:rsidR="009966D6" w:rsidRPr="006511DB">
        <w:rPr>
          <w:color w:val="000000" w:themeColor="text1"/>
          <w:sz w:val="24"/>
        </w:rPr>
        <w:t>4</w:t>
      </w:r>
      <w:r w:rsidR="004E32B1" w:rsidRPr="006511DB">
        <w:rPr>
          <w:color w:val="000000" w:themeColor="text1"/>
          <w:sz w:val="24"/>
        </w:rPr>
        <w:t xml:space="preserve"> roku. Porównanie obrotu należnościami w dniach z rotacją zobowiązań w dniach wskazuje na zachowanie optymalnej równowagi dni rotacji, </w:t>
      </w:r>
      <w:r w:rsidR="00E7068E" w:rsidRPr="006511DB">
        <w:rPr>
          <w:color w:val="000000" w:themeColor="text1"/>
          <w:sz w:val="24"/>
        </w:rPr>
        <w:br/>
      </w:r>
      <w:r w:rsidR="004E32B1" w:rsidRPr="006511DB">
        <w:rPr>
          <w:color w:val="000000" w:themeColor="text1"/>
          <w:sz w:val="24"/>
        </w:rPr>
        <w:t xml:space="preserve">w odniesieniu do </w:t>
      </w:r>
      <w:r w:rsidR="004916CE" w:rsidRPr="006511DB">
        <w:rPr>
          <w:color w:val="000000" w:themeColor="text1"/>
          <w:sz w:val="24"/>
        </w:rPr>
        <w:t>należności i zobowiązań.</w:t>
      </w:r>
      <w:r w:rsidR="004E32B1" w:rsidRPr="006511DB">
        <w:rPr>
          <w:color w:val="000000" w:themeColor="text1"/>
          <w:sz w:val="24"/>
        </w:rPr>
        <w:t xml:space="preserve"> </w:t>
      </w:r>
    </w:p>
    <w:p w14:paraId="34F027F9" w14:textId="03C6B1AA" w:rsidR="00FB24A2" w:rsidRPr="006511DB" w:rsidRDefault="005E494F">
      <w:pPr>
        <w:pStyle w:val="Akapitzlist"/>
        <w:numPr>
          <w:ilvl w:val="0"/>
          <w:numId w:val="39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</w:rPr>
      </w:pPr>
      <w:r w:rsidRPr="006511DB">
        <w:rPr>
          <w:rFonts w:ascii="Times New Roman" w:hAnsi="Times New Roman"/>
          <w:b/>
          <w:color w:val="000000" w:themeColor="text1"/>
          <w:sz w:val="24"/>
          <w:szCs w:val="24"/>
        </w:rPr>
        <w:t>Wskaźnik zadłużenia</w:t>
      </w:r>
      <w:r w:rsidR="003C0D23" w:rsidRPr="006511DB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FB24A2" w:rsidRPr="006511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B24A2" w:rsidRPr="006511DB">
        <w:rPr>
          <w:rFonts w:ascii="Times New Roman" w:hAnsi="Times New Roman"/>
          <w:bCs/>
          <w:color w:val="000000" w:themeColor="text1"/>
          <w:sz w:val="24"/>
          <w:szCs w:val="24"/>
        </w:rPr>
        <w:t>pierwszy</w:t>
      </w:r>
      <w:r w:rsidR="00FB24A2" w:rsidRPr="006511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B24A2" w:rsidRPr="006511DB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wskaźnik zadłużenia aktywów informujący, jaki jest udział zobowiązań w </w:t>
      </w:r>
      <w:r w:rsidR="00FB24A2" w:rsidRPr="006511DB">
        <w:rPr>
          <w:rFonts w:ascii="Times New Roman" w:hAnsi="Times New Roman"/>
          <w:color w:val="000000" w:themeColor="text1"/>
          <w:sz w:val="24"/>
          <w:szCs w:val="24"/>
        </w:rPr>
        <w:t>finansowaniu aktywów p</w:t>
      </w:r>
      <w:r w:rsidR="00D37301" w:rsidRPr="006511DB">
        <w:rPr>
          <w:rFonts w:ascii="Times New Roman" w:hAnsi="Times New Roman"/>
          <w:color w:val="000000" w:themeColor="text1"/>
          <w:sz w:val="24"/>
          <w:szCs w:val="24"/>
        </w:rPr>
        <w:t>odmiotu</w:t>
      </w:r>
      <w:r w:rsidR="00FB24A2" w:rsidRPr="006511DB">
        <w:rPr>
          <w:rFonts w:ascii="Times New Roman" w:hAnsi="Times New Roman"/>
          <w:color w:val="000000" w:themeColor="text1"/>
          <w:sz w:val="24"/>
          <w:szCs w:val="24"/>
        </w:rPr>
        <w:t>. Drugim wskaźnikiem wykorzystywanym w analizie zadłużenia jest wskaźnik wypłacalności opisujący zdolność podmiotu do spłaty długu.</w:t>
      </w:r>
      <w:r w:rsidR="00FB24A2" w:rsidRPr="006511DB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</w:p>
    <w:p w14:paraId="76EC92D9" w14:textId="12DE2945" w:rsidR="005E494F" w:rsidRPr="006511DB" w:rsidRDefault="005E494F">
      <w:pPr>
        <w:pStyle w:val="Akapitzlist"/>
        <w:numPr>
          <w:ilvl w:val="0"/>
          <w:numId w:val="38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</w:rPr>
      </w:pPr>
      <w:r w:rsidRPr="006511DB">
        <w:rPr>
          <w:rFonts w:ascii="Times New Roman" w:hAnsi="Times New Roman"/>
          <w:b/>
          <w:color w:val="000000" w:themeColor="text1"/>
          <w:sz w:val="24"/>
        </w:rPr>
        <w:t xml:space="preserve">Wskaźnik zadłużenia aktywów </w:t>
      </w:r>
      <w:r w:rsidRPr="006511DB">
        <w:rPr>
          <w:rFonts w:ascii="Times New Roman" w:hAnsi="Times New Roman"/>
          <w:color w:val="000000" w:themeColor="text1"/>
          <w:sz w:val="24"/>
        </w:rPr>
        <w:t xml:space="preserve">(%) informuje o stopniu finansowania aktywów kapitałami obcymi. </w:t>
      </w:r>
      <w:r w:rsidR="003C0D23" w:rsidRPr="006511DB">
        <w:rPr>
          <w:rFonts w:ascii="Times New Roman" w:hAnsi="Times New Roman"/>
          <w:color w:val="000000" w:themeColor="text1"/>
          <w:sz w:val="24"/>
        </w:rPr>
        <w:t xml:space="preserve">Wskaźnik zadłużenia aktywów ukazuje również stopień zabezpieczenia spłaty całości zadłużenia zasobami majątkowymi. </w:t>
      </w:r>
      <w:r w:rsidRPr="006511DB">
        <w:rPr>
          <w:rFonts w:ascii="Times New Roman" w:hAnsi="Times New Roman"/>
          <w:color w:val="000000" w:themeColor="text1"/>
          <w:sz w:val="24"/>
        </w:rPr>
        <w:t xml:space="preserve">Zbyt wysoka wartość wskaźnika </w:t>
      </w:r>
      <w:r w:rsidR="00E7068E" w:rsidRPr="006511DB">
        <w:rPr>
          <w:rFonts w:ascii="Times New Roman" w:hAnsi="Times New Roman"/>
          <w:color w:val="000000" w:themeColor="text1"/>
          <w:sz w:val="24"/>
        </w:rPr>
        <w:t>obniża</w:t>
      </w:r>
      <w:r w:rsidRPr="006511DB">
        <w:rPr>
          <w:rFonts w:ascii="Times New Roman" w:hAnsi="Times New Roman"/>
          <w:color w:val="000000" w:themeColor="text1"/>
          <w:sz w:val="24"/>
        </w:rPr>
        <w:t xml:space="preserve"> wiarygodność finansową podmiotu. Wskaźnik ten na podstawie raportu wynosi </w:t>
      </w:r>
      <w:r w:rsidR="006511DB" w:rsidRPr="006511DB">
        <w:rPr>
          <w:rFonts w:ascii="Times New Roman" w:hAnsi="Times New Roman"/>
          <w:color w:val="000000" w:themeColor="text1"/>
          <w:sz w:val="24"/>
        </w:rPr>
        <w:t>66,5</w:t>
      </w:r>
      <w:r w:rsidR="005A5AB6" w:rsidRPr="006511DB">
        <w:rPr>
          <w:rFonts w:ascii="Times New Roman" w:hAnsi="Times New Roman"/>
          <w:color w:val="000000" w:themeColor="text1"/>
          <w:sz w:val="24"/>
        </w:rPr>
        <w:t xml:space="preserve"> </w:t>
      </w:r>
      <w:r w:rsidRPr="006511DB">
        <w:rPr>
          <w:rFonts w:ascii="Times New Roman" w:hAnsi="Times New Roman"/>
          <w:color w:val="000000" w:themeColor="text1"/>
          <w:sz w:val="24"/>
        </w:rPr>
        <w:t xml:space="preserve">%. </w:t>
      </w:r>
      <w:r w:rsidR="006511DB" w:rsidRPr="006511DB">
        <w:rPr>
          <w:rFonts w:ascii="Times New Roman" w:hAnsi="Times New Roman"/>
          <w:color w:val="000000" w:themeColor="text1"/>
          <w:sz w:val="24"/>
        </w:rPr>
        <w:t xml:space="preserve">Wskaźnik jest mniej korzystny, niż w roku poprzednim </w:t>
      </w:r>
      <w:r w:rsidR="005E2BCF">
        <w:rPr>
          <w:rFonts w:ascii="Times New Roman" w:hAnsi="Times New Roman"/>
          <w:color w:val="000000" w:themeColor="text1"/>
          <w:sz w:val="24"/>
        </w:rPr>
        <w:br/>
      </w:r>
      <w:r w:rsidR="0092122A" w:rsidRPr="006511DB">
        <w:rPr>
          <w:rFonts w:ascii="Times New Roman" w:hAnsi="Times New Roman"/>
          <w:color w:val="000000" w:themeColor="text1"/>
          <w:sz w:val="24"/>
        </w:rPr>
        <w:t>(</w:t>
      </w:r>
      <w:r w:rsidR="006511DB" w:rsidRPr="006511DB">
        <w:rPr>
          <w:rFonts w:ascii="Times New Roman" w:hAnsi="Times New Roman"/>
          <w:color w:val="000000" w:themeColor="text1"/>
          <w:sz w:val="24"/>
        </w:rPr>
        <w:t xml:space="preserve">59,75 </w:t>
      </w:r>
      <w:r w:rsidRPr="006511DB">
        <w:rPr>
          <w:rFonts w:ascii="Times New Roman" w:hAnsi="Times New Roman"/>
          <w:color w:val="000000" w:themeColor="text1"/>
          <w:sz w:val="24"/>
        </w:rPr>
        <w:t>%)</w:t>
      </w:r>
      <w:r w:rsidR="00CB6759" w:rsidRPr="006511DB">
        <w:rPr>
          <w:rFonts w:ascii="Times New Roman" w:hAnsi="Times New Roman"/>
          <w:color w:val="000000" w:themeColor="text1"/>
          <w:sz w:val="24"/>
        </w:rPr>
        <w:t>.</w:t>
      </w:r>
      <w:r w:rsidRPr="006511DB">
        <w:rPr>
          <w:rFonts w:ascii="Times New Roman" w:hAnsi="Times New Roman"/>
          <w:color w:val="000000" w:themeColor="text1"/>
          <w:sz w:val="24"/>
        </w:rPr>
        <w:t xml:space="preserve"> </w:t>
      </w:r>
      <w:r w:rsidR="00206477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Poziom zadłużenia ma istotne znaczenie w przyznawaniu kredytów. Wysoka wartość tego wskaźnika świadczy o dużym uzależnieniu finansowym podmiotu</w:t>
      </w:r>
      <w:r w:rsidR="00A925CB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.</w:t>
      </w:r>
      <w:r w:rsidR="00206477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5CB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A</w:t>
      </w:r>
      <w:r w:rsidR="00206477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ktywa</w:t>
      </w:r>
      <w:r w:rsidR="00A925CB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podmiotu</w:t>
      </w:r>
      <w:r w:rsidR="00206477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są finansowane w większym stopniu ze źródeł </w:t>
      </w:r>
      <w:r w:rsidR="0092122A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zewnętrznych</w:t>
      </w:r>
      <w:r w:rsidR="00206477" w:rsidRPr="006511D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CCA7A47" w14:textId="27E8CACE" w:rsidR="005E494F" w:rsidRPr="006511DB" w:rsidRDefault="005E494F">
      <w:pPr>
        <w:pStyle w:val="Tekstpodstawowy2"/>
        <w:numPr>
          <w:ilvl w:val="0"/>
          <w:numId w:val="38"/>
        </w:numPr>
        <w:autoSpaceDN/>
        <w:spacing w:after="240" w:line="360" w:lineRule="auto"/>
        <w:jc w:val="both"/>
        <w:rPr>
          <w:color w:val="000000" w:themeColor="text1"/>
          <w:sz w:val="24"/>
        </w:rPr>
      </w:pPr>
      <w:r w:rsidRPr="006511DB">
        <w:rPr>
          <w:b/>
          <w:color w:val="000000" w:themeColor="text1"/>
          <w:sz w:val="24"/>
        </w:rPr>
        <w:t>Wskaźnik wypłacalności</w:t>
      </w:r>
      <w:r w:rsidRPr="006511DB">
        <w:rPr>
          <w:color w:val="000000" w:themeColor="text1"/>
          <w:sz w:val="24"/>
        </w:rPr>
        <w:t xml:space="preserve"> określa wielkość funduszy obcych przypadającą </w:t>
      </w:r>
      <w:r w:rsidR="009F09BE" w:rsidRPr="006511DB">
        <w:rPr>
          <w:color w:val="000000" w:themeColor="text1"/>
          <w:sz w:val="24"/>
        </w:rPr>
        <w:br/>
      </w:r>
      <w:r w:rsidRPr="006511DB">
        <w:rPr>
          <w:color w:val="000000" w:themeColor="text1"/>
          <w:sz w:val="24"/>
        </w:rPr>
        <w:t xml:space="preserve">na jednostkę funduszu własnego. Wysoka wartość wskaźnika wskazuje </w:t>
      </w:r>
      <w:r w:rsidR="009F09BE" w:rsidRPr="006511DB">
        <w:rPr>
          <w:color w:val="000000" w:themeColor="text1"/>
          <w:sz w:val="24"/>
        </w:rPr>
        <w:br/>
      </w:r>
      <w:r w:rsidRPr="006511DB">
        <w:rPr>
          <w:color w:val="000000" w:themeColor="text1"/>
          <w:sz w:val="24"/>
        </w:rPr>
        <w:t>na możliwość utraty zdolności do regulowania przez podmiot zobowiązań.</w:t>
      </w:r>
      <w:r w:rsidRPr="006511DB">
        <w:rPr>
          <w:color w:val="000000" w:themeColor="text1"/>
          <w:sz w:val="24"/>
        </w:rPr>
        <w:br/>
        <w:t>Wskaźnik wypłacalności</w:t>
      </w:r>
      <w:r w:rsidR="005A5AB6" w:rsidRPr="006511DB">
        <w:rPr>
          <w:color w:val="000000" w:themeColor="text1"/>
          <w:sz w:val="24"/>
        </w:rPr>
        <w:t xml:space="preserve"> ma wartość ujemną i </w:t>
      </w:r>
      <w:r w:rsidRPr="006511DB">
        <w:rPr>
          <w:color w:val="000000" w:themeColor="text1"/>
          <w:sz w:val="24"/>
        </w:rPr>
        <w:t xml:space="preserve">wynosi </w:t>
      </w:r>
      <w:r w:rsidR="005A5AB6" w:rsidRPr="006511DB">
        <w:rPr>
          <w:color w:val="000000" w:themeColor="text1"/>
          <w:sz w:val="24"/>
        </w:rPr>
        <w:t>-</w:t>
      </w:r>
      <w:r w:rsidR="006511DB" w:rsidRPr="006511DB">
        <w:rPr>
          <w:color w:val="000000" w:themeColor="text1"/>
          <w:sz w:val="24"/>
        </w:rPr>
        <w:t>5,8</w:t>
      </w:r>
      <w:r w:rsidR="00B22660">
        <w:rPr>
          <w:color w:val="000000" w:themeColor="text1"/>
          <w:sz w:val="24"/>
        </w:rPr>
        <w:t>0</w:t>
      </w:r>
      <w:r w:rsidRPr="006511DB">
        <w:rPr>
          <w:color w:val="000000" w:themeColor="text1"/>
          <w:sz w:val="24"/>
        </w:rPr>
        <w:t xml:space="preserve">. </w:t>
      </w:r>
    </w:p>
    <w:p w14:paraId="35B28019" w14:textId="5D05F52E" w:rsidR="00462A5E" w:rsidRPr="002C7586" w:rsidRDefault="00462A5E" w:rsidP="00462A5E">
      <w:pPr>
        <w:pStyle w:val="Standard"/>
        <w:spacing w:line="360" w:lineRule="auto"/>
        <w:jc w:val="both"/>
        <w:rPr>
          <w:i/>
          <w:u w:val="single"/>
        </w:rPr>
      </w:pPr>
      <w:r w:rsidRPr="002C7586">
        <w:rPr>
          <w:i/>
          <w:u w:val="single"/>
        </w:rPr>
        <w:t>lata 202</w:t>
      </w:r>
      <w:r w:rsidR="002C7586" w:rsidRPr="002C7586">
        <w:rPr>
          <w:i/>
          <w:u w:val="single"/>
        </w:rPr>
        <w:t>5</w:t>
      </w:r>
      <w:r w:rsidR="00D37301" w:rsidRPr="002C7586">
        <w:rPr>
          <w:i/>
          <w:u w:val="single"/>
        </w:rPr>
        <w:t xml:space="preserve"> </w:t>
      </w:r>
      <w:r w:rsidR="00D37301" w:rsidRPr="002C7586">
        <w:rPr>
          <w:u w:val="single"/>
        </w:rPr>
        <w:t>–</w:t>
      </w:r>
      <w:r w:rsidR="00D37301" w:rsidRPr="002C7586">
        <w:rPr>
          <w:i/>
          <w:u w:val="single"/>
        </w:rPr>
        <w:t xml:space="preserve"> </w:t>
      </w:r>
      <w:r w:rsidRPr="002C7586">
        <w:rPr>
          <w:i/>
          <w:u w:val="single"/>
        </w:rPr>
        <w:t>202</w:t>
      </w:r>
      <w:r w:rsidR="002C7586" w:rsidRPr="002C7586">
        <w:rPr>
          <w:i/>
          <w:u w:val="single"/>
        </w:rPr>
        <w:t>7</w:t>
      </w:r>
    </w:p>
    <w:p w14:paraId="21C9A14F" w14:textId="77777777" w:rsidR="00E65FD4" w:rsidRPr="00AF416D" w:rsidRDefault="00462A5E" w:rsidP="00462A5E">
      <w:pPr>
        <w:pStyle w:val="Standard"/>
        <w:spacing w:line="360" w:lineRule="auto"/>
        <w:jc w:val="both"/>
      </w:pPr>
      <w:r w:rsidRPr="00AF416D">
        <w:t>Prognoza zakłada wynik</w:t>
      </w:r>
      <w:r w:rsidR="00E65FD4" w:rsidRPr="00AF416D">
        <w:t>i</w:t>
      </w:r>
      <w:r w:rsidRPr="00AF416D">
        <w:t xml:space="preserve"> finansow</w:t>
      </w:r>
      <w:r w:rsidR="00E65FD4" w:rsidRPr="00AF416D">
        <w:t>e w poszczególnych latach</w:t>
      </w:r>
      <w:r w:rsidRPr="00AF416D">
        <w:t xml:space="preserve"> na poziomie</w:t>
      </w:r>
      <w:r w:rsidR="00E65FD4" w:rsidRPr="00AF416D">
        <w:t>:</w:t>
      </w:r>
    </w:p>
    <w:p w14:paraId="185DDC25" w14:textId="72D8782E" w:rsidR="00E65FD4" w:rsidRPr="00B22660" w:rsidRDefault="00E65FD4">
      <w:pPr>
        <w:pStyle w:val="Standard"/>
        <w:numPr>
          <w:ilvl w:val="0"/>
          <w:numId w:val="45"/>
        </w:numPr>
        <w:spacing w:line="360" w:lineRule="auto"/>
        <w:jc w:val="both"/>
      </w:pPr>
      <w:r w:rsidRPr="00AF416D">
        <w:t>202</w:t>
      </w:r>
      <w:r w:rsidR="00AF416D" w:rsidRPr="00AF416D">
        <w:t>5</w:t>
      </w:r>
      <w:r w:rsidRPr="00AF416D">
        <w:t xml:space="preserve"> rok </w:t>
      </w:r>
      <w:r w:rsidR="00D37301" w:rsidRPr="00B22660">
        <w:t xml:space="preserve">– </w:t>
      </w:r>
      <w:r w:rsidR="00BB061A" w:rsidRPr="00B22660">
        <w:t xml:space="preserve">zysk </w:t>
      </w:r>
      <w:r w:rsidR="00B22660" w:rsidRPr="00B22660">
        <w:t>388,0</w:t>
      </w:r>
      <w:r w:rsidR="00C1667E" w:rsidRPr="00B22660">
        <w:t xml:space="preserve"> tys.</w:t>
      </w:r>
      <w:r w:rsidR="00462A5E" w:rsidRPr="00B22660">
        <w:t xml:space="preserve"> złotych, </w:t>
      </w:r>
    </w:p>
    <w:p w14:paraId="1DCE226D" w14:textId="6FD9A5AE" w:rsidR="00E65FD4" w:rsidRPr="00B22660" w:rsidRDefault="00E65FD4">
      <w:pPr>
        <w:pStyle w:val="Standard"/>
        <w:numPr>
          <w:ilvl w:val="0"/>
          <w:numId w:val="45"/>
        </w:numPr>
        <w:spacing w:line="360" w:lineRule="auto"/>
        <w:jc w:val="both"/>
      </w:pPr>
      <w:r w:rsidRPr="00B22660">
        <w:lastRenderedPageBreak/>
        <w:t>202</w:t>
      </w:r>
      <w:r w:rsidR="00AF416D" w:rsidRPr="00B22660">
        <w:t>6</w:t>
      </w:r>
      <w:r w:rsidRPr="00B22660">
        <w:t xml:space="preserve"> rok </w:t>
      </w:r>
      <w:r w:rsidR="00D37301" w:rsidRPr="00B22660">
        <w:t xml:space="preserve">– </w:t>
      </w:r>
      <w:r w:rsidRPr="00B22660">
        <w:t>zysk</w:t>
      </w:r>
      <w:r w:rsidR="00462A5E" w:rsidRPr="00B22660">
        <w:t xml:space="preserve"> </w:t>
      </w:r>
      <w:r w:rsidR="00B22660" w:rsidRPr="00B22660">
        <w:t>410</w:t>
      </w:r>
      <w:r w:rsidR="00BB061A" w:rsidRPr="00B22660">
        <w:t>,0</w:t>
      </w:r>
      <w:r w:rsidR="00C1667E" w:rsidRPr="00B22660">
        <w:t xml:space="preserve"> tys.</w:t>
      </w:r>
      <w:r w:rsidR="00462A5E" w:rsidRPr="00B22660">
        <w:t xml:space="preserve"> złotych</w:t>
      </w:r>
      <w:r w:rsidRPr="00B22660">
        <w:t>,</w:t>
      </w:r>
    </w:p>
    <w:p w14:paraId="403DBFBF" w14:textId="3B9F8B7D" w:rsidR="00E65FD4" w:rsidRPr="00B22660" w:rsidRDefault="00E65FD4">
      <w:pPr>
        <w:pStyle w:val="Standard"/>
        <w:numPr>
          <w:ilvl w:val="0"/>
          <w:numId w:val="45"/>
        </w:numPr>
        <w:spacing w:line="360" w:lineRule="auto"/>
        <w:jc w:val="both"/>
      </w:pPr>
      <w:r w:rsidRPr="00B22660">
        <w:t>202</w:t>
      </w:r>
      <w:r w:rsidR="00AF416D" w:rsidRPr="00B22660">
        <w:t>7</w:t>
      </w:r>
      <w:r w:rsidRPr="00B22660">
        <w:t xml:space="preserve"> rok</w:t>
      </w:r>
      <w:r w:rsidR="00D37301" w:rsidRPr="00B22660">
        <w:t xml:space="preserve"> –</w:t>
      </w:r>
      <w:r w:rsidRPr="00B22660">
        <w:t xml:space="preserve"> zysk</w:t>
      </w:r>
      <w:r w:rsidR="00462A5E" w:rsidRPr="00B22660">
        <w:t xml:space="preserve"> </w:t>
      </w:r>
      <w:r w:rsidR="00B22660" w:rsidRPr="00B22660">
        <w:t>890</w:t>
      </w:r>
      <w:r w:rsidR="00BB061A" w:rsidRPr="00B22660">
        <w:t>,0</w:t>
      </w:r>
      <w:r w:rsidR="00C1667E" w:rsidRPr="00B22660">
        <w:t xml:space="preserve"> tys.</w:t>
      </w:r>
      <w:r w:rsidR="00462A5E" w:rsidRPr="00B22660">
        <w:t xml:space="preserve"> złotych. </w:t>
      </w:r>
    </w:p>
    <w:p w14:paraId="33672600" w14:textId="598EE578" w:rsidR="000A7892" w:rsidRPr="00AF416D" w:rsidRDefault="00462A5E" w:rsidP="00E65FD4">
      <w:pPr>
        <w:pStyle w:val="Standard"/>
        <w:spacing w:line="360" w:lineRule="auto"/>
        <w:jc w:val="both"/>
      </w:pPr>
      <w:r w:rsidRPr="00AF416D">
        <w:t>W całym okresie prognozy wartość oceny kształt</w:t>
      </w:r>
      <w:r w:rsidR="00343D3D" w:rsidRPr="00AF416D">
        <w:t>uje</w:t>
      </w:r>
      <w:r w:rsidRPr="00AF416D">
        <w:t xml:space="preserve"> się na poziomie</w:t>
      </w:r>
      <w:r w:rsidR="000A7892" w:rsidRPr="00AF416D">
        <w:t>:</w:t>
      </w:r>
    </w:p>
    <w:p w14:paraId="1BE91BFF" w14:textId="0D6AFE6E" w:rsidR="00462A5E" w:rsidRPr="00B22660" w:rsidRDefault="000A7892">
      <w:pPr>
        <w:pStyle w:val="Standard"/>
        <w:numPr>
          <w:ilvl w:val="0"/>
          <w:numId w:val="44"/>
        </w:numPr>
        <w:spacing w:line="360" w:lineRule="auto"/>
        <w:jc w:val="both"/>
        <w:rPr>
          <w:bCs/>
        </w:rPr>
      </w:pPr>
      <w:r w:rsidRPr="00AF416D">
        <w:rPr>
          <w:bCs/>
        </w:rPr>
        <w:t>202</w:t>
      </w:r>
      <w:r w:rsidR="00AF416D" w:rsidRPr="00AF416D">
        <w:rPr>
          <w:bCs/>
        </w:rPr>
        <w:t>5</w:t>
      </w:r>
      <w:r w:rsidRPr="00AF416D">
        <w:rPr>
          <w:bCs/>
        </w:rPr>
        <w:t xml:space="preserve"> rok </w:t>
      </w:r>
      <w:r w:rsidR="00D37301" w:rsidRPr="00B22660">
        <w:t>–</w:t>
      </w:r>
      <w:r w:rsidRPr="00B22660">
        <w:rPr>
          <w:bCs/>
        </w:rPr>
        <w:t xml:space="preserve"> </w:t>
      </w:r>
      <w:r w:rsidR="004F38BA" w:rsidRPr="00B22660">
        <w:rPr>
          <w:bCs/>
        </w:rPr>
        <w:t>2</w:t>
      </w:r>
      <w:r w:rsidR="00BB061A" w:rsidRPr="00B22660">
        <w:rPr>
          <w:bCs/>
        </w:rPr>
        <w:t>7</w:t>
      </w:r>
      <w:r w:rsidR="00462A5E" w:rsidRPr="00B22660">
        <w:rPr>
          <w:bCs/>
        </w:rPr>
        <w:t xml:space="preserve"> punktów tj. </w:t>
      </w:r>
      <w:r w:rsidR="004F38BA" w:rsidRPr="00B22660">
        <w:rPr>
          <w:bCs/>
        </w:rPr>
        <w:t>3</w:t>
      </w:r>
      <w:r w:rsidR="00BB061A" w:rsidRPr="00B22660">
        <w:rPr>
          <w:bCs/>
        </w:rPr>
        <w:t>9</w:t>
      </w:r>
      <w:r w:rsidR="002B734B" w:rsidRPr="00B22660">
        <w:rPr>
          <w:bCs/>
        </w:rPr>
        <w:t xml:space="preserve"> %</w:t>
      </w:r>
      <w:r w:rsidR="00462A5E" w:rsidRPr="00B22660">
        <w:rPr>
          <w:bCs/>
        </w:rPr>
        <w:t xml:space="preserve"> możliwych do zdobycia</w:t>
      </w:r>
      <w:r w:rsidRPr="00B22660">
        <w:rPr>
          <w:bCs/>
        </w:rPr>
        <w:t>,</w:t>
      </w:r>
    </w:p>
    <w:p w14:paraId="5FACFB65" w14:textId="513666FF" w:rsidR="000A7892" w:rsidRPr="00B22660" w:rsidRDefault="000A7892">
      <w:pPr>
        <w:pStyle w:val="Standard"/>
        <w:numPr>
          <w:ilvl w:val="0"/>
          <w:numId w:val="44"/>
        </w:numPr>
        <w:spacing w:line="360" w:lineRule="auto"/>
        <w:jc w:val="both"/>
        <w:rPr>
          <w:bCs/>
        </w:rPr>
      </w:pPr>
      <w:r w:rsidRPr="00B22660">
        <w:rPr>
          <w:bCs/>
        </w:rPr>
        <w:t>202</w:t>
      </w:r>
      <w:r w:rsidR="00AF416D" w:rsidRPr="00B22660">
        <w:rPr>
          <w:bCs/>
        </w:rPr>
        <w:t>6</w:t>
      </w:r>
      <w:r w:rsidRPr="00B22660">
        <w:rPr>
          <w:bCs/>
        </w:rPr>
        <w:t xml:space="preserve"> rok </w:t>
      </w:r>
      <w:r w:rsidR="00D37301" w:rsidRPr="00B22660">
        <w:t>–</w:t>
      </w:r>
      <w:r w:rsidRPr="00B22660">
        <w:rPr>
          <w:bCs/>
        </w:rPr>
        <w:t xml:space="preserve"> </w:t>
      </w:r>
      <w:r w:rsidR="002B734B" w:rsidRPr="00B22660">
        <w:rPr>
          <w:bCs/>
        </w:rPr>
        <w:t>2</w:t>
      </w:r>
      <w:r w:rsidR="00344029" w:rsidRPr="00B22660">
        <w:rPr>
          <w:bCs/>
        </w:rPr>
        <w:t>7</w:t>
      </w:r>
      <w:r w:rsidR="002B734B" w:rsidRPr="00B22660">
        <w:rPr>
          <w:bCs/>
        </w:rPr>
        <w:t xml:space="preserve"> punktów tj. </w:t>
      </w:r>
      <w:r w:rsidR="00FF3BC1" w:rsidRPr="00B22660">
        <w:rPr>
          <w:bCs/>
        </w:rPr>
        <w:t>39</w:t>
      </w:r>
      <w:r w:rsidR="002B734B" w:rsidRPr="00B22660">
        <w:rPr>
          <w:bCs/>
        </w:rPr>
        <w:t xml:space="preserve"> % możliwych do zdobycia,</w:t>
      </w:r>
    </w:p>
    <w:p w14:paraId="7F062F3A" w14:textId="1BD5D48B" w:rsidR="000A7892" w:rsidRPr="00B22660" w:rsidRDefault="000A7892">
      <w:pPr>
        <w:pStyle w:val="Standard"/>
        <w:numPr>
          <w:ilvl w:val="0"/>
          <w:numId w:val="44"/>
        </w:numPr>
        <w:spacing w:line="360" w:lineRule="auto"/>
        <w:jc w:val="both"/>
        <w:rPr>
          <w:bCs/>
        </w:rPr>
      </w:pPr>
      <w:r w:rsidRPr="00B22660">
        <w:rPr>
          <w:bCs/>
        </w:rPr>
        <w:t>202</w:t>
      </w:r>
      <w:r w:rsidR="00AF416D" w:rsidRPr="00B22660">
        <w:rPr>
          <w:bCs/>
        </w:rPr>
        <w:t>7</w:t>
      </w:r>
      <w:r w:rsidRPr="00B22660">
        <w:rPr>
          <w:bCs/>
        </w:rPr>
        <w:t xml:space="preserve"> rok </w:t>
      </w:r>
      <w:r w:rsidR="00D37301" w:rsidRPr="00B22660">
        <w:t>–</w:t>
      </w:r>
      <w:r w:rsidRPr="00B22660">
        <w:rPr>
          <w:bCs/>
        </w:rPr>
        <w:t xml:space="preserve"> </w:t>
      </w:r>
      <w:r w:rsidR="00344029" w:rsidRPr="00B22660">
        <w:rPr>
          <w:bCs/>
        </w:rPr>
        <w:t>29</w:t>
      </w:r>
      <w:r w:rsidR="00E65FD4" w:rsidRPr="00B22660">
        <w:rPr>
          <w:bCs/>
        </w:rPr>
        <w:t xml:space="preserve"> punktów tj. </w:t>
      </w:r>
      <w:r w:rsidR="00BB061A" w:rsidRPr="00B22660">
        <w:rPr>
          <w:bCs/>
        </w:rPr>
        <w:t>4</w:t>
      </w:r>
      <w:r w:rsidR="00FF3BC1" w:rsidRPr="00B22660">
        <w:rPr>
          <w:bCs/>
        </w:rPr>
        <w:t>1</w:t>
      </w:r>
      <w:r w:rsidR="00E65FD4" w:rsidRPr="00B22660">
        <w:rPr>
          <w:bCs/>
        </w:rPr>
        <w:t xml:space="preserve"> % możliwych do zdobycia.</w:t>
      </w:r>
    </w:p>
    <w:p w14:paraId="5330A01C" w14:textId="3B7C8E8B" w:rsidR="00FC7DF6" w:rsidRPr="004751D5" w:rsidRDefault="00FC7DF6" w:rsidP="00D821A3">
      <w:pPr>
        <w:pStyle w:val="Standard"/>
        <w:pageBreakBefore/>
        <w:widowControl/>
        <w:numPr>
          <w:ilvl w:val="0"/>
          <w:numId w:val="22"/>
        </w:numPr>
        <w:spacing w:after="200" w:line="276" w:lineRule="auto"/>
        <w:ind w:left="567" w:hanging="207"/>
        <w:jc w:val="both"/>
        <w:rPr>
          <w:color w:val="000000" w:themeColor="text1"/>
        </w:rPr>
      </w:pPr>
      <w:r w:rsidRPr="004751D5">
        <w:rPr>
          <w:b/>
          <w:i/>
          <w:color w:val="000000" w:themeColor="text1"/>
          <w:sz w:val="28"/>
          <w:szCs w:val="28"/>
        </w:rPr>
        <w:lastRenderedPageBreak/>
        <w:t xml:space="preserve">Istotne zdarzenia mające wpływ na sytuację ekonomiczno - finansową </w:t>
      </w:r>
      <w:r w:rsidRPr="004751D5">
        <w:rPr>
          <w:b/>
          <w:i/>
          <w:color w:val="000000" w:themeColor="text1"/>
          <w:sz w:val="28"/>
          <w:szCs w:val="28"/>
        </w:rPr>
        <w:br/>
        <w:t>SPZZOZ w Wyszkowie</w:t>
      </w:r>
    </w:p>
    <w:p w14:paraId="025BD3BB" w14:textId="116321A5" w:rsidR="009D2EC1" w:rsidRPr="009D2EC1" w:rsidRDefault="009D2EC1" w:rsidP="009D2EC1">
      <w:pPr>
        <w:pStyle w:val="Akapitzlist"/>
        <w:suppressAutoHyphens w:val="0"/>
        <w:autoSpaceDN/>
        <w:spacing w:after="0" w:line="360" w:lineRule="auto"/>
        <w:ind w:left="0" w:firstLine="360"/>
        <w:contextualSpacing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Na sytuację ekonomiczno-finansową Samodzielnego Publicznego Zespołu Zakładów Opieki </w:t>
      </w:r>
      <w:r w:rsidR="005D6AA2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9D2EC1">
        <w:rPr>
          <w:rFonts w:ascii="Times New Roman" w:hAnsi="Times New Roman"/>
          <w:color w:val="000000" w:themeColor="text1"/>
          <w:sz w:val="24"/>
          <w:szCs w:val="24"/>
        </w:rPr>
        <w:t>drowotnej w Wyszkowie mają wpływ poniższe zdarzenia:</w:t>
      </w:r>
    </w:p>
    <w:p w14:paraId="2B70DE36" w14:textId="1E962D7D" w:rsidR="000A7D3A" w:rsidRPr="004751D5" w:rsidRDefault="000E46CF" w:rsidP="000E46CF">
      <w:pPr>
        <w:pStyle w:val="Akapitzlist"/>
        <w:numPr>
          <w:ilvl w:val="0"/>
          <w:numId w:val="56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color w:val="000000" w:themeColor="text1"/>
        </w:rPr>
      </w:pPr>
      <w:r w:rsidRPr="009D2EC1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A7D3A" w:rsidRPr="009D2EC1">
        <w:rPr>
          <w:rFonts w:ascii="Times New Roman" w:hAnsi="Times New Roman"/>
          <w:color w:val="000000" w:themeColor="text1"/>
          <w:sz w:val="24"/>
          <w:szCs w:val="24"/>
        </w:rPr>
        <w:t>ealizacja wyroków sądowych oraz</w:t>
      </w:r>
      <w:r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 ugód pozasądowych dotyczących</w:t>
      </w:r>
      <w:r w:rsidR="000A7D3A"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7301" w:rsidRPr="009D2EC1">
        <w:rPr>
          <w:rFonts w:ascii="Times New Roman" w:hAnsi="Times New Roman"/>
          <w:color w:val="000000" w:themeColor="text1"/>
          <w:sz w:val="24"/>
          <w:szCs w:val="24"/>
        </w:rPr>
        <w:t>roszczeń</w:t>
      </w:r>
      <w:r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 z tytułu wynagrodzeń za pracę</w:t>
      </w:r>
      <w:r w:rsidR="00D37301"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 grupy zawodowej pielęgniarek wynikających </w:t>
      </w:r>
      <w:r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="00D37301" w:rsidRPr="009D2EC1">
        <w:rPr>
          <w:rFonts w:ascii="Times New Roman" w:hAnsi="Times New Roman"/>
          <w:color w:val="000000" w:themeColor="text1"/>
          <w:sz w:val="24"/>
          <w:szCs w:val="24"/>
        </w:rPr>
        <w:t xml:space="preserve">realizacji </w:t>
      </w:r>
      <w:r w:rsidRPr="009D2EC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D37301" w:rsidRPr="009D2EC1">
        <w:rPr>
          <w:rFonts w:ascii="Times New Roman" w:hAnsi="Times New Roman"/>
          <w:color w:val="000000" w:themeColor="text1"/>
          <w:sz w:val="24"/>
          <w:szCs w:val="24"/>
        </w:rPr>
        <w:t>orozumienia postrajkowego z dnia 20 czerwca 2015</w:t>
      </w:r>
      <w:r w:rsidR="00D37301" w:rsidRPr="004751D5">
        <w:rPr>
          <w:rFonts w:ascii="Times New Roman" w:hAnsi="Times New Roman"/>
          <w:color w:val="000000" w:themeColor="text1"/>
          <w:sz w:val="24"/>
          <w:szCs w:val="24"/>
        </w:rPr>
        <w:t xml:space="preserve"> roku</w:t>
      </w:r>
      <w:r w:rsidRPr="004751D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D2E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2EC1" w:rsidRPr="0047727D">
        <w:rPr>
          <w:rFonts w:ascii="Times New Roman" w:hAnsi="Times New Roman"/>
          <w:color w:val="000000"/>
          <w:sz w:val="24"/>
          <w:szCs w:val="24"/>
        </w:rPr>
        <w:t xml:space="preserve">W celu realizacji powyższych roszczeń SPZZOZ </w:t>
      </w:r>
      <w:r w:rsidR="009D2EC1">
        <w:rPr>
          <w:rFonts w:ascii="Times New Roman" w:hAnsi="Times New Roman"/>
          <w:color w:val="000000"/>
          <w:sz w:val="24"/>
          <w:szCs w:val="24"/>
        </w:rPr>
        <w:t xml:space="preserve">w Wyszkowie </w:t>
      </w:r>
      <w:r w:rsidR="009D2EC1" w:rsidRPr="0047727D">
        <w:rPr>
          <w:rFonts w:ascii="Times New Roman" w:hAnsi="Times New Roman"/>
          <w:color w:val="000000"/>
          <w:sz w:val="24"/>
          <w:szCs w:val="24"/>
        </w:rPr>
        <w:t>zaciągnął kredyt</w:t>
      </w:r>
      <w:r w:rsidR="009D2EC1">
        <w:rPr>
          <w:rFonts w:ascii="Times New Roman" w:hAnsi="Times New Roman"/>
          <w:color w:val="000000"/>
          <w:sz w:val="24"/>
          <w:szCs w:val="24"/>
        </w:rPr>
        <w:t xml:space="preserve"> obrotowy nieodnawialny.</w:t>
      </w:r>
    </w:p>
    <w:p w14:paraId="67A829A2" w14:textId="63E56397" w:rsidR="00D37301" w:rsidRPr="00E67481" w:rsidRDefault="004751D5" w:rsidP="00E67481">
      <w:pPr>
        <w:pStyle w:val="Akapitzlist"/>
        <w:numPr>
          <w:ilvl w:val="0"/>
          <w:numId w:val="56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color w:val="000000" w:themeColor="text1"/>
        </w:rPr>
      </w:pPr>
      <w:r w:rsidRPr="004751D5">
        <w:rPr>
          <w:rFonts w:ascii="Times New Roman" w:hAnsi="Times New Roman"/>
          <w:color w:val="000000" w:themeColor="text1"/>
          <w:sz w:val="24"/>
          <w:szCs w:val="24"/>
        </w:rPr>
        <w:t>Zaciągnięcie pożyczki na spłatę roszczeń uzupełniających w związku z bezumownym korzystaniem z gruntu na mocy ugody sądowej  z Rodziną Skarżyńskich zawartej w dniu 17 października 2024 roku przed Sądem Apelacyjnym w Białymstoku w sprawie sygn. akt I ACa 558/23</w:t>
      </w:r>
      <w:r w:rsidR="00D37301" w:rsidRPr="004751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9C75E2" w14:textId="732CA2BC" w:rsidR="00E67481" w:rsidRPr="005D6AA2" w:rsidRDefault="000956A8" w:rsidP="00E67481">
      <w:pPr>
        <w:pStyle w:val="Nagwek1"/>
        <w:numPr>
          <w:ilvl w:val="0"/>
          <w:numId w:val="43"/>
        </w:numPr>
        <w:spacing w:before="0" w:after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0956A8">
        <w:rPr>
          <w:b w:val="0"/>
          <w:bCs w:val="0"/>
          <w:color w:val="000000" w:themeColor="text1"/>
          <w:sz w:val="24"/>
          <w:szCs w:val="24"/>
        </w:rPr>
        <w:t xml:space="preserve">Zwiększone ryzyko płynności finansowej Szpitala na skutek </w:t>
      </w:r>
      <w:r w:rsidR="00EF0043">
        <w:rPr>
          <w:b w:val="0"/>
          <w:bCs w:val="0"/>
          <w:color w:val="000000" w:themeColor="text1"/>
          <w:sz w:val="24"/>
          <w:szCs w:val="24"/>
        </w:rPr>
        <w:t xml:space="preserve">niewypłaconych </w:t>
      </w:r>
      <w:r w:rsidR="005D6AA2">
        <w:rPr>
          <w:b w:val="0"/>
          <w:bCs w:val="0"/>
          <w:color w:val="000000" w:themeColor="text1"/>
          <w:sz w:val="24"/>
          <w:szCs w:val="24"/>
        </w:rPr>
        <w:t xml:space="preserve">i czasem niepełnych </w:t>
      </w:r>
      <w:r w:rsidR="00EF0043">
        <w:rPr>
          <w:b w:val="0"/>
          <w:bCs w:val="0"/>
          <w:color w:val="000000" w:themeColor="text1"/>
          <w:sz w:val="24"/>
          <w:szCs w:val="24"/>
        </w:rPr>
        <w:t>nadwykonań</w:t>
      </w:r>
      <w:r w:rsidRPr="000956A8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67481" w:rsidRPr="000956A8">
        <w:rPr>
          <w:b w:val="0"/>
          <w:bCs w:val="0"/>
          <w:color w:val="000000" w:themeColor="text1"/>
          <w:sz w:val="24"/>
          <w:szCs w:val="24"/>
        </w:rPr>
        <w:t>przez N</w:t>
      </w:r>
      <w:r w:rsidRPr="000956A8">
        <w:rPr>
          <w:b w:val="0"/>
          <w:bCs w:val="0"/>
          <w:color w:val="000000" w:themeColor="text1"/>
          <w:sz w:val="24"/>
          <w:szCs w:val="24"/>
        </w:rPr>
        <w:t xml:space="preserve">arodowy </w:t>
      </w:r>
      <w:r w:rsidR="00E67481" w:rsidRPr="000956A8">
        <w:rPr>
          <w:b w:val="0"/>
          <w:bCs w:val="0"/>
          <w:color w:val="000000" w:themeColor="text1"/>
          <w:sz w:val="24"/>
          <w:szCs w:val="24"/>
        </w:rPr>
        <w:t>F</w:t>
      </w:r>
      <w:r w:rsidRPr="000956A8">
        <w:rPr>
          <w:b w:val="0"/>
          <w:bCs w:val="0"/>
          <w:color w:val="000000" w:themeColor="text1"/>
          <w:sz w:val="24"/>
          <w:szCs w:val="24"/>
        </w:rPr>
        <w:t xml:space="preserve">undusz </w:t>
      </w:r>
      <w:r w:rsidR="00E67481" w:rsidRPr="005D6AA2">
        <w:rPr>
          <w:b w:val="0"/>
          <w:bCs w:val="0"/>
          <w:color w:val="000000" w:themeColor="text1"/>
          <w:sz w:val="24"/>
          <w:szCs w:val="24"/>
        </w:rPr>
        <w:t>Z</w:t>
      </w:r>
      <w:r w:rsidRPr="005D6AA2">
        <w:rPr>
          <w:b w:val="0"/>
          <w:bCs w:val="0"/>
          <w:color w:val="000000" w:themeColor="text1"/>
          <w:sz w:val="24"/>
          <w:szCs w:val="24"/>
        </w:rPr>
        <w:t xml:space="preserve">drowia </w:t>
      </w:r>
      <w:r w:rsidR="005D6AA2" w:rsidRPr="005D6AA2">
        <w:rPr>
          <w:b w:val="0"/>
          <w:bCs w:val="0"/>
          <w:color w:val="000000"/>
          <w:sz w:val="24"/>
          <w:szCs w:val="24"/>
        </w:rPr>
        <w:t>za wykonane i rozliczone świadczenia zdrowotne w 2024</w:t>
      </w:r>
      <w:r w:rsidR="005D6AA2">
        <w:rPr>
          <w:b w:val="0"/>
          <w:bCs w:val="0"/>
          <w:color w:val="000000"/>
          <w:sz w:val="24"/>
          <w:szCs w:val="24"/>
        </w:rPr>
        <w:t xml:space="preserve"> roku</w:t>
      </w:r>
      <w:r w:rsidR="005D6AA2" w:rsidRPr="005D6AA2">
        <w:rPr>
          <w:b w:val="0"/>
          <w:bCs w:val="0"/>
          <w:color w:val="000000"/>
          <w:sz w:val="24"/>
          <w:szCs w:val="24"/>
        </w:rPr>
        <w:t xml:space="preserve"> i </w:t>
      </w:r>
      <w:r w:rsidR="005D6AA2">
        <w:rPr>
          <w:b w:val="0"/>
          <w:bCs w:val="0"/>
          <w:color w:val="000000"/>
          <w:sz w:val="24"/>
          <w:szCs w:val="24"/>
        </w:rPr>
        <w:t>I</w:t>
      </w:r>
      <w:r w:rsidR="005D6AA2" w:rsidRPr="005D6AA2">
        <w:rPr>
          <w:b w:val="0"/>
          <w:bCs w:val="0"/>
          <w:color w:val="000000"/>
          <w:sz w:val="24"/>
          <w:szCs w:val="24"/>
        </w:rPr>
        <w:t xml:space="preserve"> kw</w:t>
      </w:r>
      <w:r w:rsidR="005D6AA2">
        <w:rPr>
          <w:b w:val="0"/>
          <w:bCs w:val="0"/>
          <w:color w:val="000000"/>
          <w:sz w:val="24"/>
          <w:szCs w:val="24"/>
        </w:rPr>
        <w:t>artale</w:t>
      </w:r>
      <w:r w:rsidR="005D6AA2" w:rsidRPr="005D6AA2">
        <w:rPr>
          <w:b w:val="0"/>
          <w:bCs w:val="0"/>
          <w:color w:val="000000"/>
          <w:sz w:val="24"/>
          <w:szCs w:val="24"/>
        </w:rPr>
        <w:t xml:space="preserve"> 2025</w:t>
      </w:r>
      <w:r w:rsidR="005D6AA2">
        <w:rPr>
          <w:b w:val="0"/>
          <w:bCs w:val="0"/>
          <w:color w:val="000000"/>
          <w:sz w:val="24"/>
          <w:szCs w:val="24"/>
        </w:rPr>
        <w:t xml:space="preserve"> </w:t>
      </w:r>
      <w:r w:rsidR="005D6AA2" w:rsidRPr="005D6AA2">
        <w:rPr>
          <w:b w:val="0"/>
          <w:bCs w:val="0"/>
          <w:color w:val="000000"/>
          <w:sz w:val="24"/>
          <w:szCs w:val="24"/>
        </w:rPr>
        <w:t>r</w:t>
      </w:r>
      <w:r w:rsidR="005D6AA2">
        <w:rPr>
          <w:b w:val="0"/>
          <w:bCs w:val="0"/>
          <w:color w:val="000000"/>
          <w:sz w:val="24"/>
          <w:szCs w:val="24"/>
        </w:rPr>
        <w:t>oku</w:t>
      </w:r>
      <w:r w:rsidR="005D6AA2" w:rsidRPr="005D6AA2">
        <w:rPr>
          <w:b w:val="0"/>
          <w:bCs w:val="0"/>
          <w:color w:val="000000"/>
          <w:sz w:val="24"/>
          <w:szCs w:val="24"/>
        </w:rPr>
        <w:t xml:space="preserve"> – czas oczekiwania na otrzymanie należności od 3 do 6 miesięcy (bez możliwości naliczenia</w:t>
      </w:r>
      <w:r w:rsidR="005D6AA2" w:rsidRPr="005D6AA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5D6AA2">
        <w:rPr>
          <w:b w:val="0"/>
          <w:bCs w:val="0"/>
          <w:color w:val="000000" w:themeColor="text1"/>
          <w:sz w:val="24"/>
          <w:szCs w:val="24"/>
        </w:rPr>
        <w:t>odsetek)</w:t>
      </w:r>
      <w:r w:rsidR="00E67481" w:rsidRPr="005D6AA2">
        <w:rPr>
          <w:b w:val="0"/>
          <w:bCs w:val="0"/>
          <w:color w:val="000000" w:themeColor="text1"/>
          <w:sz w:val="24"/>
          <w:szCs w:val="24"/>
        </w:rPr>
        <w:t>.</w:t>
      </w:r>
    </w:p>
    <w:p w14:paraId="35F2D01E" w14:textId="7A3FA232" w:rsidR="007619AF" w:rsidRPr="00AC28D0" w:rsidRDefault="000956A8">
      <w:pPr>
        <w:pStyle w:val="Akapitzlist"/>
        <w:numPr>
          <w:ilvl w:val="0"/>
          <w:numId w:val="5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D6AA2">
        <w:rPr>
          <w:rFonts w:ascii="Times New Roman" w:hAnsi="Times New Roman"/>
          <w:color w:val="000000" w:themeColor="text1"/>
          <w:sz w:val="24"/>
          <w:szCs w:val="24"/>
        </w:rPr>
        <w:t xml:space="preserve">Niepełne </w:t>
      </w:r>
      <w:r w:rsidR="005D6A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5D6AA2" w:rsidRPr="00AC28D0">
        <w:rPr>
          <w:rFonts w:ascii="Times New Roman" w:hAnsi="Times New Roman"/>
          <w:color w:val="000000" w:themeColor="text1"/>
          <w:sz w:val="24"/>
          <w:szCs w:val="24"/>
        </w:rPr>
        <w:t xml:space="preserve">niewystarczające </w:t>
      </w:r>
      <w:r w:rsidRPr="00AC28D0">
        <w:rPr>
          <w:rFonts w:ascii="Times New Roman" w:hAnsi="Times New Roman"/>
          <w:color w:val="000000" w:themeColor="text1"/>
          <w:sz w:val="24"/>
          <w:szCs w:val="24"/>
        </w:rPr>
        <w:t xml:space="preserve">finansowanie przez Narodowy Fundusz Zdrowia </w:t>
      </w:r>
      <w:r w:rsidR="005D6AA2" w:rsidRPr="00AC28D0">
        <w:rPr>
          <w:rFonts w:ascii="Times New Roman" w:hAnsi="Times New Roman"/>
          <w:color w:val="000000"/>
          <w:sz w:val="24"/>
          <w:szCs w:val="24"/>
        </w:rPr>
        <w:t>obowiązku corocznego</w:t>
      </w:r>
      <w:r w:rsidR="00AC28D0">
        <w:rPr>
          <w:rFonts w:ascii="Times New Roman" w:hAnsi="Times New Roman"/>
          <w:color w:val="000000"/>
          <w:sz w:val="24"/>
          <w:szCs w:val="24"/>
        </w:rPr>
        <w:t>,</w:t>
      </w:r>
      <w:r w:rsidR="005D6AA2" w:rsidRPr="00AC28D0">
        <w:rPr>
          <w:rFonts w:ascii="Times New Roman" w:hAnsi="Times New Roman"/>
          <w:color w:val="000000"/>
          <w:sz w:val="24"/>
          <w:szCs w:val="24"/>
        </w:rPr>
        <w:t xml:space="preserve"> ustawowego wzrostu wynagrodzeń</w:t>
      </w:r>
      <w:r w:rsidR="00E40A31" w:rsidRPr="00AC28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28D0" w:rsidRPr="00AC28D0">
        <w:rPr>
          <w:rFonts w:ascii="Times New Roman" w:hAnsi="Times New Roman"/>
          <w:sz w:val="24"/>
          <w:szCs w:val="24"/>
        </w:rPr>
        <w:t xml:space="preserve">ustawy z dnia 8 czerwca 2017 roku </w:t>
      </w:r>
      <w:r w:rsidR="00AC28D0">
        <w:rPr>
          <w:rFonts w:ascii="Times New Roman" w:hAnsi="Times New Roman"/>
          <w:sz w:val="24"/>
          <w:szCs w:val="24"/>
        </w:rPr>
        <w:br/>
      </w:r>
      <w:r w:rsidR="00AC28D0" w:rsidRPr="00AC28D0">
        <w:rPr>
          <w:rFonts w:ascii="Times New Roman" w:hAnsi="Times New Roman"/>
          <w:i/>
          <w:iCs/>
          <w:sz w:val="24"/>
          <w:szCs w:val="24"/>
        </w:rPr>
        <w:t>o sposobie ustalania najniższego wynagrodzenia zasadniczego niektórych pracowników zatrudnionych w podmiotach leczniczych</w:t>
      </w:r>
      <w:r w:rsidR="00AC28D0" w:rsidRPr="00AC28D0">
        <w:rPr>
          <w:rFonts w:ascii="Times New Roman" w:hAnsi="Times New Roman"/>
          <w:sz w:val="24"/>
          <w:szCs w:val="24"/>
        </w:rPr>
        <w:t xml:space="preserve"> (t.j. Dz.U. z 2022 r. poz. 2139)</w:t>
      </w:r>
      <w:r w:rsidR="00840611" w:rsidRPr="00AC28D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F35DBC" w14:textId="763E627B" w:rsidR="00840611" w:rsidRDefault="000956A8">
      <w:pPr>
        <w:pStyle w:val="Akapitzlist"/>
        <w:numPr>
          <w:ilvl w:val="0"/>
          <w:numId w:val="5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  <w:r w:rsidRPr="00AC28D0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>Wzrost kosztów na odprawy emerytalne i nagrody jubileuszowe w</w:t>
      </w:r>
      <w:r w:rsidR="00D37301" w:rsidRPr="00AC28D0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 xml:space="preserve">ynikający </w:t>
      </w:r>
      <w:r w:rsidR="00AC28D0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 xml:space="preserve">z corocznego, ustawowego </w:t>
      </w:r>
      <w:r w:rsidR="00D37301" w:rsidRPr="00AC28D0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>wzrostu wynagrodzeń</w:t>
      </w:r>
      <w:r w:rsidR="00840611" w:rsidRPr="00AC28D0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>.</w:t>
      </w:r>
    </w:p>
    <w:p w14:paraId="1F4EEBBD" w14:textId="730ABE7A" w:rsidR="00AC28D0" w:rsidRPr="00AC28D0" w:rsidRDefault="00AC28D0">
      <w:pPr>
        <w:pStyle w:val="Akapitzlist"/>
        <w:numPr>
          <w:ilvl w:val="0"/>
          <w:numId w:val="5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 xml:space="preserve">Brak realnej wyceny przez Agencję Oceny Technologii Medycznych i Taryfikacji </w:t>
      </w:r>
      <w:r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br/>
        <w:t>i waloryzacji przez Narodowy Fundusz Zdrowia wartości punktowej rozliczenia za realizację udzielanych świadczeń zdrowotnych.</w:t>
      </w:r>
    </w:p>
    <w:p w14:paraId="6B284918" w14:textId="385066F6" w:rsidR="00D37301" w:rsidRPr="000956A8" w:rsidRDefault="00E24017" w:rsidP="00E24017">
      <w:pPr>
        <w:pStyle w:val="Akapitzlist"/>
        <w:numPr>
          <w:ilvl w:val="0"/>
          <w:numId w:val="5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0956A8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37301" w:rsidRPr="000956A8">
        <w:rPr>
          <w:rFonts w:ascii="Times New Roman" w:hAnsi="Times New Roman"/>
          <w:color w:val="000000" w:themeColor="text1"/>
          <w:sz w:val="24"/>
          <w:szCs w:val="24"/>
        </w:rPr>
        <w:t>zrost minimalnego wynagrodzenia za pracę, który przedkłada się na koszty</w:t>
      </w:r>
      <w:r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7301"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stawki godzinowej w ramach umów cywilnoprawnych </w:t>
      </w:r>
      <w:r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="00D37301"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usług zewnętrznych wynikających </w:t>
      </w:r>
      <w:r w:rsidR="000956A8" w:rsidRPr="000956A8">
        <w:rPr>
          <w:rFonts w:ascii="Times New Roman" w:hAnsi="Times New Roman"/>
          <w:color w:val="000000" w:themeColor="text1"/>
          <w:sz w:val="24"/>
          <w:szCs w:val="24"/>
        </w:rPr>
        <w:br/>
      </w:r>
      <w:r w:rsidR="00D37301"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z ustawy </w:t>
      </w:r>
      <w:r w:rsidR="00D37301" w:rsidRPr="000956A8">
        <w:rPr>
          <w:rFonts w:ascii="Times New Roman" w:hAnsi="Times New Roman"/>
          <w:i/>
          <w:iCs/>
          <w:color w:val="000000" w:themeColor="text1"/>
          <w:sz w:val="24"/>
          <w:szCs w:val="24"/>
        </w:rPr>
        <w:t>Prawo zamówień publicznych.</w:t>
      </w:r>
      <w:r w:rsidR="00D37301" w:rsidRPr="000956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51289B" w14:textId="58025993" w:rsidR="006C7AD3" w:rsidRPr="000956A8" w:rsidRDefault="000956A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Koszty odsetek oraz rekompensat za koszty odzyskiwania należności w ramach postępowań</w:t>
      </w:r>
      <w:r w:rsidR="006D388D"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windykacyjn</w:t>
      </w:r>
      <w:r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ych</w:t>
      </w:r>
      <w:r w:rsidR="006D388D"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prowadzonych przez</w:t>
      </w:r>
      <w:r w:rsidR="006D388D"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dostawców</w:t>
      </w:r>
      <w:r w:rsidR="006C7AD3" w:rsidRPr="000956A8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.</w:t>
      </w:r>
    </w:p>
    <w:p w14:paraId="3A3D2ED9" w14:textId="17872C4F" w:rsidR="000956A8" w:rsidRDefault="00EF0043" w:rsidP="00A916B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0043">
        <w:rPr>
          <w:rFonts w:ascii="Times New Roman" w:hAnsi="Times New Roman"/>
          <w:color w:val="000000" w:themeColor="text1"/>
          <w:sz w:val="24"/>
          <w:szCs w:val="24"/>
        </w:rPr>
        <w:t xml:space="preserve">SPZZOZ w Wyszkowie realizuje na bieżąco </w:t>
      </w:r>
      <w:r w:rsidR="00F613E1">
        <w:rPr>
          <w:rFonts w:ascii="Times New Roman" w:hAnsi="Times New Roman"/>
          <w:color w:val="000000" w:themeColor="text1"/>
          <w:sz w:val="24"/>
          <w:szCs w:val="24"/>
        </w:rPr>
        <w:t xml:space="preserve">zaplanowane </w:t>
      </w:r>
      <w:r w:rsidRPr="00EF0043">
        <w:rPr>
          <w:rFonts w:ascii="Times New Roman" w:hAnsi="Times New Roman"/>
          <w:color w:val="000000" w:themeColor="text1"/>
          <w:sz w:val="24"/>
          <w:szCs w:val="24"/>
        </w:rPr>
        <w:t>inwestycje i modernizacje infrastruktury</w:t>
      </w:r>
      <w:r w:rsidR="0032795F">
        <w:rPr>
          <w:rFonts w:ascii="Times New Roman" w:hAnsi="Times New Roman"/>
          <w:color w:val="000000" w:themeColor="text1"/>
          <w:sz w:val="24"/>
          <w:szCs w:val="24"/>
        </w:rPr>
        <w:t xml:space="preserve">, w tym zakup sprzętu i aparatury medycznej celem, których jest dostosowanie </w:t>
      </w:r>
      <w:r w:rsidR="0032795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do wymogów </w:t>
      </w:r>
      <w:r w:rsidR="00052E25">
        <w:rPr>
          <w:rFonts w:ascii="Times New Roman" w:hAnsi="Times New Roman"/>
          <w:color w:val="000000" w:themeColor="text1"/>
          <w:sz w:val="24"/>
          <w:szCs w:val="24"/>
        </w:rPr>
        <w:t>sanitarnych i technicznych</w:t>
      </w:r>
      <w:r w:rsidR="0032795F">
        <w:rPr>
          <w:rFonts w:ascii="Times New Roman" w:hAnsi="Times New Roman"/>
          <w:color w:val="000000" w:themeColor="text1"/>
          <w:sz w:val="24"/>
          <w:szCs w:val="24"/>
        </w:rPr>
        <w:t xml:space="preserve"> oraz podniesieni</w:t>
      </w:r>
      <w:r w:rsidR="006F627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32795F">
        <w:rPr>
          <w:rFonts w:ascii="Times New Roman" w:hAnsi="Times New Roman"/>
          <w:color w:val="000000" w:themeColor="text1"/>
          <w:sz w:val="24"/>
          <w:szCs w:val="24"/>
        </w:rPr>
        <w:t xml:space="preserve"> jakości świadczonych usług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0043">
        <w:rPr>
          <w:rFonts w:ascii="Times New Roman" w:hAnsi="Times New Roman"/>
          <w:color w:val="000000" w:themeColor="text1"/>
          <w:sz w:val="24"/>
          <w:szCs w:val="24"/>
        </w:rPr>
        <w:t xml:space="preserve">co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powoduje </w:t>
      </w:r>
      <w:r w:rsidR="0032795F">
        <w:rPr>
          <w:rFonts w:ascii="Times New Roman" w:hAnsi="Times New Roman"/>
          <w:color w:val="000000" w:themeColor="text1"/>
          <w:sz w:val="24"/>
          <w:szCs w:val="24"/>
        </w:rPr>
        <w:t>zwiększenie wydatków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te cele.</w:t>
      </w:r>
    </w:p>
    <w:p w14:paraId="38FD0587" w14:textId="55A38DD6" w:rsidR="00052E25" w:rsidRDefault="00052E25" w:rsidP="00A916B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Utrzymanie certyfikatu akredytacyjnego na kolejne trzy lata, potwierdzającego spełnienie wysokich standardów jakości i bezpieczeństwa pacjenta, co wiąże się z otrzymaniem dodatkowego finansowania z Narodowego Funduszu Zdrowia.</w:t>
      </w:r>
    </w:p>
    <w:p w14:paraId="19992DD5" w14:textId="2D42EE4B" w:rsidR="00AC28D0" w:rsidRDefault="00AC28D0" w:rsidP="00A916B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Poszerzenie </w:t>
      </w:r>
      <w:r w:rsidRPr="009D5CE1">
        <w:rPr>
          <w:rFonts w:ascii="Times New Roman" w:hAnsi="Times New Roman"/>
          <w:color w:val="000000"/>
          <w:sz w:val="24"/>
          <w:szCs w:val="24"/>
        </w:rPr>
        <w:t xml:space="preserve">zakresu w udzielaniu świadczeń medycznych gwarantowanych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D5CE1">
        <w:rPr>
          <w:rFonts w:ascii="Times New Roman" w:hAnsi="Times New Roman"/>
          <w:color w:val="000000"/>
          <w:sz w:val="24"/>
          <w:szCs w:val="24"/>
        </w:rPr>
        <w:t>i finansowanych w ramach kontraktu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 Narodowego Funduszu Zdrowia.</w:t>
      </w:r>
    </w:p>
    <w:p w14:paraId="08051EA1" w14:textId="3C2AA23C" w:rsidR="00AC28D0" w:rsidRDefault="00AC28D0" w:rsidP="00A916B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Ubieganie się </w:t>
      </w:r>
      <w:r w:rsidRPr="009D5CE1">
        <w:rPr>
          <w:rFonts w:ascii="Times New Roman" w:hAnsi="Times New Roman"/>
          <w:color w:val="000000"/>
          <w:sz w:val="24"/>
          <w:szCs w:val="24"/>
        </w:rPr>
        <w:t xml:space="preserve">o środki finansowe zewnętrzne przeznaczone na inwestycje w zakresie przebudowy, modernizacji i rozbudowy – poprawy bazy i wyposażenia w sprzęt medyczny do realizacji </w:t>
      </w:r>
      <w:r>
        <w:rPr>
          <w:rFonts w:ascii="Times New Roman" w:hAnsi="Times New Roman"/>
          <w:color w:val="000000"/>
          <w:sz w:val="24"/>
          <w:szCs w:val="24"/>
        </w:rPr>
        <w:t xml:space="preserve"> i udzielania </w:t>
      </w:r>
      <w:r w:rsidRPr="009D5CE1">
        <w:rPr>
          <w:rFonts w:ascii="Times New Roman" w:hAnsi="Times New Roman"/>
          <w:color w:val="000000"/>
          <w:sz w:val="24"/>
          <w:szCs w:val="24"/>
        </w:rPr>
        <w:t>poszerzonego zakresu świadczeń</w:t>
      </w:r>
      <w:r>
        <w:rPr>
          <w:rFonts w:ascii="Times New Roman" w:hAnsi="Times New Roman"/>
          <w:color w:val="000000"/>
          <w:sz w:val="24"/>
          <w:szCs w:val="24"/>
        </w:rPr>
        <w:t xml:space="preserve"> medycznych.</w:t>
      </w:r>
    </w:p>
    <w:p w14:paraId="2969EE75" w14:textId="77777777" w:rsidR="006F6272" w:rsidRPr="00EF0043" w:rsidRDefault="006F6272" w:rsidP="006A6BE6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F6272" w:rsidRPr="00EF0043" w:rsidSect="001138CD">
      <w:headerReference w:type="default" r:id="rId9"/>
      <w:footerReference w:type="default" r:id="rId10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B44E" w14:textId="77777777" w:rsidR="00355D91" w:rsidRDefault="00355D91" w:rsidP="00FF15A0">
      <w:r>
        <w:separator/>
      </w:r>
    </w:p>
  </w:endnote>
  <w:endnote w:type="continuationSeparator" w:id="0">
    <w:p w14:paraId="63453DF1" w14:textId="77777777" w:rsidR="00355D91" w:rsidRDefault="00355D91" w:rsidP="00FF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608079"/>
      <w:docPartObj>
        <w:docPartGallery w:val="Page Numbers (Bottom of Page)"/>
        <w:docPartUnique/>
      </w:docPartObj>
    </w:sdtPr>
    <w:sdtContent>
      <w:p w14:paraId="28493525" w14:textId="30D8EE29" w:rsidR="00D821A3" w:rsidRDefault="00D82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BC2C2" w14:textId="77777777" w:rsidR="00D821A3" w:rsidRDefault="00D82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7DAB" w14:textId="77777777" w:rsidR="00355D91" w:rsidRDefault="00355D91" w:rsidP="00FF15A0">
      <w:r>
        <w:separator/>
      </w:r>
    </w:p>
  </w:footnote>
  <w:footnote w:type="continuationSeparator" w:id="0">
    <w:p w14:paraId="69C77722" w14:textId="77777777" w:rsidR="00355D91" w:rsidRDefault="00355D91" w:rsidP="00FF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BDDC" w14:textId="29CFA686" w:rsidR="00D821A3" w:rsidRPr="00615FA7" w:rsidRDefault="00D821A3" w:rsidP="00FF15A0">
    <w:pPr>
      <w:spacing w:line="276" w:lineRule="auto"/>
      <w:jc w:val="center"/>
      <w:rPr>
        <w:rFonts w:ascii="Times New Roman" w:hAnsi="Times New Roman"/>
        <w:sz w:val="16"/>
        <w:szCs w:val="16"/>
      </w:rPr>
    </w:pPr>
    <w:r w:rsidRPr="00615FA7">
      <w:rPr>
        <w:rFonts w:ascii="Times New Roman" w:hAnsi="Times New Roman"/>
        <w:b/>
        <w:noProof/>
        <w:sz w:val="16"/>
        <w:szCs w:val="16"/>
      </w:rPr>
      <w:drawing>
        <wp:anchor distT="0" distB="0" distL="114935" distR="114935" simplePos="0" relativeHeight="251660288" behindDoc="1" locked="0" layoutInCell="1" allowOverlap="1" wp14:anchorId="5FD4F160" wp14:editId="0CAB5AA1">
          <wp:simplePos x="0" y="0"/>
          <wp:positionH relativeFrom="margin">
            <wp:align>left</wp:align>
          </wp:positionH>
          <wp:positionV relativeFrom="paragraph">
            <wp:posOffset>-307092</wp:posOffset>
          </wp:positionV>
          <wp:extent cx="657225" cy="59361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36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5FA7">
      <w:rPr>
        <w:rFonts w:ascii="Times New Roman" w:hAnsi="Times New Roman"/>
        <w:sz w:val="16"/>
        <w:szCs w:val="16"/>
      </w:rPr>
      <w:t xml:space="preserve">RAPORT O SYTUACJI EKONOMICZNO-FINANSOWEJ                                               </w:t>
    </w:r>
  </w:p>
  <w:p w14:paraId="43759536" w14:textId="496B05F0" w:rsidR="00D821A3" w:rsidRPr="00615FA7" w:rsidRDefault="00D821A3" w:rsidP="00FF15A0">
    <w:pPr>
      <w:spacing w:line="276" w:lineRule="auto"/>
      <w:jc w:val="center"/>
      <w:rPr>
        <w:rFonts w:ascii="Times New Roman" w:hAnsi="Times New Roman"/>
        <w:sz w:val="16"/>
        <w:szCs w:val="16"/>
      </w:rPr>
    </w:pPr>
    <w:r w:rsidRPr="00615FA7">
      <w:rPr>
        <w:rFonts w:ascii="Times New Roman" w:hAnsi="Times New Roman"/>
        <w:sz w:val="16"/>
        <w:szCs w:val="16"/>
      </w:rPr>
      <w:t xml:space="preserve">   SAMODZIELNEGO PUBLICZNEGO ZESPOŁU ZAKŁADÓW OPIEKI ZDROWOTNEJ W WYSZKOWIE</w:t>
    </w:r>
  </w:p>
  <w:p w14:paraId="10EA0EDD" w14:textId="77777777" w:rsidR="00D821A3" w:rsidRDefault="00D821A3">
    <w:pPr>
      <w:pStyle w:val="Nagwek"/>
    </w:pPr>
    <w:r w:rsidRPr="00E50D77">
      <w:rPr>
        <w:rFonts w:ascii="Bookman Old Style" w:eastAsia="Times New Roman" w:hAnsi="Bookman Old Styl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F2E76" wp14:editId="4DD6F427">
              <wp:simplePos x="0" y="0"/>
              <wp:positionH relativeFrom="margin">
                <wp:align>right</wp:align>
              </wp:positionH>
              <wp:positionV relativeFrom="paragraph">
                <wp:posOffset>48260</wp:posOffset>
              </wp:positionV>
              <wp:extent cx="5705475" cy="38100"/>
              <wp:effectExtent l="19050" t="19050" r="28575" b="3810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3810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3792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8.05pt,3.8pt" to="847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" strokeweight=".26mm">
              <v:stroke joinstyle="miter" endcap="square"/>
              <w10:wrap anchorx="margin"/>
            </v:line>
          </w:pict>
        </mc:Fallback>
      </mc:AlternateContent>
    </w:r>
  </w:p>
  <w:p w14:paraId="7E48EA61" w14:textId="77777777" w:rsidR="00D821A3" w:rsidRDefault="00D821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39E"/>
    <w:multiLevelType w:val="hybridMultilevel"/>
    <w:tmpl w:val="B022A74E"/>
    <w:lvl w:ilvl="0" w:tplc="D05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258E"/>
    <w:multiLevelType w:val="multilevel"/>
    <w:tmpl w:val="EBDA9E10"/>
    <w:styleLink w:val="WWNum13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67690"/>
    <w:multiLevelType w:val="multilevel"/>
    <w:tmpl w:val="7528ED6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513671"/>
    <w:multiLevelType w:val="hybridMultilevel"/>
    <w:tmpl w:val="19C05CC8"/>
    <w:lvl w:ilvl="0" w:tplc="FEF81B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61DE6"/>
    <w:multiLevelType w:val="hybridMultilevel"/>
    <w:tmpl w:val="BB2C1126"/>
    <w:lvl w:ilvl="0" w:tplc="33F0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E12BF"/>
    <w:multiLevelType w:val="hybridMultilevel"/>
    <w:tmpl w:val="4028A896"/>
    <w:lvl w:ilvl="0" w:tplc="00B47BF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80898"/>
    <w:multiLevelType w:val="multilevel"/>
    <w:tmpl w:val="CD302E72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E15287"/>
    <w:multiLevelType w:val="multilevel"/>
    <w:tmpl w:val="BA864E4A"/>
    <w:styleLink w:val="WWNum1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845225"/>
    <w:multiLevelType w:val="hybridMultilevel"/>
    <w:tmpl w:val="14B60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27AAE"/>
    <w:multiLevelType w:val="hybridMultilevel"/>
    <w:tmpl w:val="40CC54B8"/>
    <w:lvl w:ilvl="0" w:tplc="7B586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F6FD9"/>
    <w:multiLevelType w:val="hybridMultilevel"/>
    <w:tmpl w:val="D5CC8DDE"/>
    <w:lvl w:ilvl="0" w:tplc="81643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C7E94"/>
    <w:multiLevelType w:val="hybridMultilevel"/>
    <w:tmpl w:val="79AAF136"/>
    <w:lvl w:ilvl="0" w:tplc="6C603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320A4"/>
    <w:multiLevelType w:val="multilevel"/>
    <w:tmpl w:val="811EF88E"/>
    <w:lvl w:ilvl="0">
      <w:start w:val="1"/>
      <w:numFmt w:val="upperRoman"/>
      <w:lvlText w:val="%1."/>
      <w:lvlJc w:val="right"/>
      <w:pPr>
        <w:ind w:left="862" w:hanging="720"/>
      </w:pPr>
      <w:rPr>
        <w:rFonts w:ascii="Times New Roman" w:hAnsi="Times New Roman" w:cs="Times New Roman" w:hint="default"/>
        <w:b/>
        <w:bCs/>
        <w:i w:val="0"/>
        <w:iCs/>
        <w:caps w:val="0"/>
        <w:smallCaps w:val="0"/>
        <w:color w:val="000000"/>
        <w:spacing w:val="0"/>
        <w:kern w:val="0"/>
        <w:sz w:val="24"/>
        <w:szCs w:val="24"/>
        <w14:shadow w14:blurRad="38036" w14:dist="18745" w14:dir="2700000" w14:sx="100000" w14:sy="100000" w14:kx="0" w14:ky="0" w14:algn="b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A44B3"/>
    <w:multiLevelType w:val="hybridMultilevel"/>
    <w:tmpl w:val="6DC82944"/>
    <w:lvl w:ilvl="0" w:tplc="9FC83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545"/>
    <w:multiLevelType w:val="multilevel"/>
    <w:tmpl w:val="D1DEDBB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 w:themeColor="text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DF10AE"/>
    <w:multiLevelType w:val="multilevel"/>
    <w:tmpl w:val="4010F05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0C5661"/>
    <w:multiLevelType w:val="multilevel"/>
    <w:tmpl w:val="2F1E0EA8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0" w:themeColor="text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261830E1"/>
    <w:multiLevelType w:val="hybridMultilevel"/>
    <w:tmpl w:val="00D6549A"/>
    <w:lvl w:ilvl="0" w:tplc="31945CD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0291"/>
    <w:multiLevelType w:val="multilevel"/>
    <w:tmpl w:val="421C9A32"/>
    <w:styleLink w:val="WWNum7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CC004B"/>
    <w:multiLevelType w:val="hybridMultilevel"/>
    <w:tmpl w:val="5994D81C"/>
    <w:lvl w:ilvl="0" w:tplc="58960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C4249"/>
    <w:multiLevelType w:val="hybridMultilevel"/>
    <w:tmpl w:val="D24A1D0C"/>
    <w:lvl w:ilvl="0" w:tplc="BABA13A2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158C9"/>
    <w:multiLevelType w:val="multilevel"/>
    <w:tmpl w:val="B6DC8C1C"/>
    <w:styleLink w:val="WWNum1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F6D1B61"/>
    <w:multiLevelType w:val="multilevel"/>
    <w:tmpl w:val="24867F36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6B73EE"/>
    <w:multiLevelType w:val="hybridMultilevel"/>
    <w:tmpl w:val="E3049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6B20EF"/>
    <w:multiLevelType w:val="multilevel"/>
    <w:tmpl w:val="3C3422E6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BE2217"/>
    <w:multiLevelType w:val="multilevel"/>
    <w:tmpl w:val="5EE8408E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0" w:themeColor="text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359B3C59"/>
    <w:multiLevelType w:val="multilevel"/>
    <w:tmpl w:val="DA0C976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7F026CE"/>
    <w:multiLevelType w:val="hybridMultilevel"/>
    <w:tmpl w:val="BF7A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96902"/>
    <w:multiLevelType w:val="hybridMultilevel"/>
    <w:tmpl w:val="C3A63C56"/>
    <w:lvl w:ilvl="0" w:tplc="34D8AFB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A9D51E4"/>
    <w:multiLevelType w:val="hybridMultilevel"/>
    <w:tmpl w:val="CE76442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DC0620"/>
    <w:multiLevelType w:val="multilevel"/>
    <w:tmpl w:val="D6309A2E"/>
    <w:styleLink w:val="WWNum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D6B7BEB"/>
    <w:multiLevelType w:val="hybridMultilevel"/>
    <w:tmpl w:val="87D226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D04989"/>
    <w:multiLevelType w:val="hybridMultilevel"/>
    <w:tmpl w:val="9F1CA222"/>
    <w:lvl w:ilvl="0" w:tplc="5AE8F41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5027FA"/>
    <w:multiLevelType w:val="multilevel"/>
    <w:tmpl w:val="C45ED630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34" w15:restartNumberingAfterBreak="0">
    <w:nsid w:val="446514BC"/>
    <w:multiLevelType w:val="multilevel"/>
    <w:tmpl w:val="52CCF5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9BB574C"/>
    <w:multiLevelType w:val="hybridMultilevel"/>
    <w:tmpl w:val="A8961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3F2955"/>
    <w:multiLevelType w:val="hybridMultilevel"/>
    <w:tmpl w:val="D376E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176F9"/>
    <w:multiLevelType w:val="multilevel"/>
    <w:tmpl w:val="F15AA8D4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5FE46AC"/>
    <w:multiLevelType w:val="multilevel"/>
    <w:tmpl w:val="F6EA30B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8B36A6"/>
    <w:multiLevelType w:val="hybridMultilevel"/>
    <w:tmpl w:val="0D70D85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58EF1090"/>
    <w:multiLevelType w:val="hybridMultilevel"/>
    <w:tmpl w:val="67DCFD1E"/>
    <w:lvl w:ilvl="0" w:tplc="816437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2B5C97"/>
    <w:multiLevelType w:val="multilevel"/>
    <w:tmpl w:val="A4584854"/>
    <w:styleLink w:val="WWNum1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42" w15:restartNumberingAfterBreak="0">
    <w:nsid w:val="5BC02A20"/>
    <w:multiLevelType w:val="hybridMultilevel"/>
    <w:tmpl w:val="AF26CC80"/>
    <w:lvl w:ilvl="0" w:tplc="D17E8A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7B2ACC"/>
    <w:multiLevelType w:val="hybridMultilevel"/>
    <w:tmpl w:val="98A20C34"/>
    <w:lvl w:ilvl="0" w:tplc="80ACA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0450AE"/>
    <w:multiLevelType w:val="multilevel"/>
    <w:tmpl w:val="E034EDF2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7B13521"/>
    <w:multiLevelType w:val="multilevel"/>
    <w:tmpl w:val="423A123E"/>
    <w:styleLink w:val="Styl1"/>
    <w:lvl w:ilvl="0">
      <w:start w:val="2"/>
      <w:numFmt w:val="decimal"/>
      <w:lvlText w:val="%1.1."/>
      <w:lvlJc w:val="left"/>
      <w:pPr>
        <w:ind w:left="505" w:hanging="363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11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79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37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9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5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9" w:hanging="363"/>
      </w:pPr>
      <w:rPr>
        <w:rFonts w:hint="default"/>
      </w:rPr>
    </w:lvl>
  </w:abstractNum>
  <w:abstractNum w:abstractNumId="46" w15:restartNumberingAfterBreak="0">
    <w:nsid w:val="681C3F48"/>
    <w:multiLevelType w:val="multilevel"/>
    <w:tmpl w:val="094A9B8E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0" w:themeColor="text1"/>
        <w:sz w:val="24"/>
        <w:szCs w:val="24"/>
      </w:rPr>
    </w:lvl>
    <w:lvl w:ilvl="1">
      <w:numFmt w:val="bullet"/>
      <w:lvlText w:val=""/>
      <w:lvlJc w:val="left"/>
      <w:pPr>
        <w:ind w:left="938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6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78" w:hanging="360"/>
      </w:pPr>
      <w:rPr>
        <w:rFonts w:ascii="Wingdings" w:hAnsi="Wingdings"/>
      </w:rPr>
    </w:lvl>
  </w:abstractNum>
  <w:abstractNum w:abstractNumId="47" w15:restartNumberingAfterBreak="0">
    <w:nsid w:val="68890BFE"/>
    <w:multiLevelType w:val="hybridMultilevel"/>
    <w:tmpl w:val="4B6859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8C4E62"/>
    <w:multiLevelType w:val="multilevel"/>
    <w:tmpl w:val="70D4D6A6"/>
    <w:styleLink w:val="WWNum10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9" w15:restartNumberingAfterBreak="0">
    <w:nsid w:val="77AF5649"/>
    <w:multiLevelType w:val="hybridMultilevel"/>
    <w:tmpl w:val="DBDE8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62EF"/>
    <w:multiLevelType w:val="multilevel"/>
    <w:tmpl w:val="792E5364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A99056A"/>
    <w:multiLevelType w:val="multilevel"/>
    <w:tmpl w:val="AB4CEDE6"/>
    <w:styleLink w:val="WWNum3"/>
    <w:lvl w:ilvl="0">
      <w:numFmt w:val="bullet"/>
      <w:lvlText w:val=""/>
      <w:lvlJc w:val="left"/>
      <w:pPr>
        <w:ind w:left="1146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2" w15:restartNumberingAfterBreak="0">
    <w:nsid w:val="7AAD0AC4"/>
    <w:multiLevelType w:val="multilevel"/>
    <w:tmpl w:val="54F0FFB2"/>
    <w:styleLink w:val="WWNum1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B937D90"/>
    <w:multiLevelType w:val="multilevel"/>
    <w:tmpl w:val="B0B0F30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4288011">
    <w:abstractNumId w:val="45"/>
  </w:num>
  <w:num w:numId="2" w16cid:durableId="1903054778">
    <w:abstractNumId w:val="41"/>
  </w:num>
  <w:num w:numId="3" w16cid:durableId="1980530005">
    <w:abstractNumId w:val="2"/>
  </w:num>
  <w:num w:numId="4" w16cid:durableId="648831252">
    <w:abstractNumId w:val="51"/>
  </w:num>
  <w:num w:numId="5" w16cid:durableId="1767337546">
    <w:abstractNumId w:val="15"/>
  </w:num>
  <w:num w:numId="6" w16cid:durableId="1403289472">
    <w:abstractNumId w:val="33"/>
  </w:num>
  <w:num w:numId="7" w16cid:durableId="1270239202">
    <w:abstractNumId w:val="30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Times New Roman" w:hAnsi="Times New Roman" w:cs="Times New Roman" w:hint="default"/>
          <w:b/>
          <w:bCs/>
          <w:color w:val="000000" w:themeColor="text1"/>
        </w:rPr>
      </w:lvl>
    </w:lvlOverride>
  </w:num>
  <w:num w:numId="8" w16cid:durableId="494608452">
    <w:abstractNumId w:val="18"/>
  </w:num>
  <w:num w:numId="9" w16cid:durableId="1388334630">
    <w:abstractNumId w:val="50"/>
  </w:num>
  <w:num w:numId="10" w16cid:durableId="1876189774">
    <w:abstractNumId w:val="38"/>
  </w:num>
  <w:num w:numId="11" w16cid:durableId="961882813">
    <w:abstractNumId w:val="48"/>
  </w:num>
  <w:num w:numId="12" w16cid:durableId="142283787">
    <w:abstractNumId w:val="7"/>
  </w:num>
  <w:num w:numId="13" w16cid:durableId="626397243">
    <w:abstractNumId w:val="52"/>
  </w:num>
  <w:num w:numId="14" w16cid:durableId="1219970523">
    <w:abstractNumId w:val="1"/>
  </w:num>
  <w:num w:numId="15" w16cid:durableId="73364011">
    <w:abstractNumId w:val="24"/>
  </w:num>
  <w:num w:numId="16" w16cid:durableId="1156217320">
    <w:abstractNumId w:val="6"/>
  </w:num>
  <w:num w:numId="17" w16cid:durableId="6713635">
    <w:abstractNumId w:val="21"/>
  </w:num>
  <w:num w:numId="18" w16cid:durableId="1473474664">
    <w:abstractNumId w:val="37"/>
  </w:num>
  <w:num w:numId="19" w16cid:durableId="125247587">
    <w:abstractNumId w:val="26"/>
  </w:num>
  <w:num w:numId="20" w16cid:durableId="296645017">
    <w:abstractNumId w:val="22"/>
  </w:num>
  <w:num w:numId="21" w16cid:durableId="1334145859">
    <w:abstractNumId w:val="44"/>
  </w:num>
  <w:num w:numId="22" w16cid:durableId="560218189">
    <w:abstractNumId w:val="12"/>
  </w:num>
  <w:num w:numId="23" w16cid:durableId="847451210">
    <w:abstractNumId w:val="34"/>
  </w:num>
  <w:num w:numId="24" w16cid:durableId="1564411413">
    <w:abstractNumId w:val="44"/>
    <w:lvlOverride w:ilvl="0">
      <w:lvl w:ilvl="0">
        <w:numFmt w:val="bullet"/>
        <w:lvlText w:val=""/>
        <w:lvlJc w:val="left"/>
        <w:pPr>
          <w:ind w:left="360" w:hanging="360"/>
        </w:pPr>
        <w:rPr>
          <w:rFonts w:ascii="Wingdings" w:hAnsi="Wingdings"/>
          <w:color w:val="000000" w:themeColor="text1"/>
        </w:rPr>
      </w:lvl>
    </w:lvlOverride>
  </w:num>
  <w:num w:numId="25" w16cid:durableId="517891054">
    <w:abstractNumId w:val="25"/>
  </w:num>
  <w:num w:numId="26" w16cid:durableId="359623313">
    <w:abstractNumId w:val="16"/>
  </w:num>
  <w:num w:numId="27" w16cid:durableId="446585678">
    <w:abstractNumId w:val="53"/>
  </w:num>
  <w:num w:numId="28" w16cid:durableId="1994992725">
    <w:abstractNumId w:val="46"/>
  </w:num>
  <w:num w:numId="29" w16cid:durableId="1881238294">
    <w:abstractNumId w:val="14"/>
  </w:num>
  <w:num w:numId="30" w16cid:durableId="265038878">
    <w:abstractNumId w:val="42"/>
  </w:num>
  <w:num w:numId="31" w16cid:durableId="1907916241">
    <w:abstractNumId w:val="5"/>
  </w:num>
  <w:num w:numId="32" w16cid:durableId="528108495">
    <w:abstractNumId w:val="49"/>
  </w:num>
  <w:num w:numId="33" w16cid:durableId="1424839123">
    <w:abstractNumId w:val="27"/>
  </w:num>
  <w:num w:numId="34" w16cid:durableId="21059453">
    <w:abstractNumId w:val="36"/>
  </w:num>
  <w:num w:numId="35" w16cid:durableId="745882282">
    <w:abstractNumId w:val="0"/>
  </w:num>
  <w:num w:numId="36" w16cid:durableId="597173236">
    <w:abstractNumId w:val="13"/>
  </w:num>
  <w:num w:numId="37" w16cid:durableId="1037699706">
    <w:abstractNumId w:val="4"/>
  </w:num>
  <w:num w:numId="38" w16cid:durableId="1616865117">
    <w:abstractNumId w:val="19"/>
  </w:num>
  <w:num w:numId="39" w16cid:durableId="299041265">
    <w:abstractNumId w:val="32"/>
  </w:num>
  <w:num w:numId="40" w16cid:durableId="245775136">
    <w:abstractNumId w:val="30"/>
  </w:num>
  <w:num w:numId="41" w16cid:durableId="7946865">
    <w:abstractNumId w:val="28"/>
  </w:num>
  <w:num w:numId="42" w16cid:durableId="466898620">
    <w:abstractNumId w:val="29"/>
  </w:num>
  <w:num w:numId="43" w16cid:durableId="1640458038">
    <w:abstractNumId w:val="31"/>
  </w:num>
  <w:num w:numId="44" w16cid:durableId="964508212">
    <w:abstractNumId w:val="9"/>
  </w:num>
  <w:num w:numId="45" w16cid:durableId="11883824">
    <w:abstractNumId w:val="43"/>
  </w:num>
  <w:num w:numId="46" w16cid:durableId="1023240349">
    <w:abstractNumId w:val="10"/>
  </w:num>
  <w:num w:numId="47" w16cid:durableId="11299553">
    <w:abstractNumId w:val="8"/>
  </w:num>
  <w:num w:numId="48" w16cid:durableId="1315455355">
    <w:abstractNumId w:val="35"/>
  </w:num>
  <w:num w:numId="49" w16cid:durableId="803930754">
    <w:abstractNumId w:val="39"/>
  </w:num>
  <w:num w:numId="50" w16cid:durableId="2070110852">
    <w:abstractNumId w:val="23"/>
  </w:num>
  <w:num w:numId="51" w16cid:durableId="1313801112">
    <w:abstractNumId w:val="11"/>
  </w:num>
  <w:num w:numId="52" w16cid:durableId="921379128">
    <w:abstractNumId w:val="17"/>
  </w:num>
  <w:num w:numId="53" w16cid:durableId="682127864">
    <w:abstractNumId w:val="3"/>
  </w:num>
  <w:num w:numId="54" w16cid:durableId="1822425733">
    <w:abstractNumId w:val="40"/>
  </w:num>
  <w:num w:numId="55" w16cid:durableId="634025969">
    <w:abstractNumId w:val="20"/>
  </w:num>
  <w:num w:numId="56" w16cid:durableId="1388068326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A0"/>
    <w:rsid w:val="000015B8"/>
    <w:rsid w:val="00006B36"/>
    <w:rsid w:val="00015669"/>
    <w:rsid w:val="000166AD"/>
    <w:rsid w:val="00017A03"/>
    <w:rsid w:val="00023ADC"/>
    <w:rsid w:val="00025228"/>
    <w:rsid w:val="000311D8"/>
    <w:rsid w:val="00031291"/>
    <w:rsid w:val="00033191"/>
    <w:rsid w:val="00034DD0"/>
    <w:rsid w:val="00036149"/>
    <w:rsid w:val="000363B5"/>
    <w:rsid w:val="00042036"/>
    <w:rsid w:val="00047559"/>
    <w:rsid w:val="000513D0"/>
    <w:rsid w:val="00051853"/>
    <w:rsid w:val="0005286F"/>
    <w:rsid w:val="00052E25"/>
    <w:rsid w:val="00053811"/>
    <w:rsid w:val="0006066D"/>
    <w:rsid w:val="00060BFD"/>
    <w:rsid w:val="0006187B"/>
    <w:rsid w:val="0006282A"/>
    <w:rsid w:val="00064BFB"/>
    <w:rsid w:val="00071147"/>
    <w:rsid w:val="00085722"/>
    <w:rsid w:val="000859B8"/>
    <w:rsid w:val="00093535"/>
    <w:rsid w:val="000938C6"/>
    <w:rsid w:val="00094A30"/>
    <w:rsid w:val="00094CD5"/>
    <w:rsid w:val="000956A8"/>
    <w:rsid w:val="000A0E11"/>
    <w:rsid w:val="000A5BB1"/>
    <w:rsid w:val="000A7892"/>
    <w:rsid w:val="000A7D3A"/>
    <w:rsid w:val="000A7DF0"/>
    <w:rsid w:val="000B28E2"/>
    <w:rsid w:val="000B3F77"/>
    <w:rsid w:val="000B5FBC"/>
    <w:rsid w:val="000B68F7"/>
    <w:rsid w:val="000B7E50"/>
    <w:rsid w:val="000C2224"/>
    <w:rsid w:val="000C24ED"/>
    <w:rsid w:val="000D0542"/>
    <w:rsid w:val="000D1DCA"/>
    <w:rsid w:val="000D410A"/>
    <w:rsid w:val="000D410C"/>
    <w:rsid w:val="000D42E0"/>
    <w:rsid w:val="000D4CCD"/>
    <w:rsid w:val="000D6B4F"/>
    <w:rsid w:val="000E2270"/>
    <w:rsid w:val="000E3299"/>
    <w:rsid w:val="000E46CF"/>
    <w:rsid w:val="000F0BEF"/>
    <w:rsid w:val="000F21C2"/>
    <w:rsid w:val="000F66F3"/>
    <w:rsid w:val="00101D4F"/>
    <w:rsid w:val="00102402"/>
    <w:rsid w:val="00102621"/>
    <w:rsid w:val="001038B1"/>
    <w:rsid w:val="00107693"/>
    <w:rsid w:val="0010797A"/>
    <w:rsid w:val="00113630"/>
    <w:rsid w:val="001138CD"/>
    <w:rsid w:val="001204A9"/>
    <w:rsid w:val="00124E73"/>
    <w:rsid w:val="001308C4"/>
    <w:rsid w:val="00135FAC"/>
    <w:rsid w:val="00140135"/>
    <w:rsid w:val="00141E8A"/>
    <w:rsid w:val="00142387"/>
    <w:rsid w:val="00142F2D"/>
    <w:rsid w:val="0014529B"/>
    <w:rsid w:val="0014744C"/>
    <w:rsid w:val="001606FE"/>
    <w:rsid w:val="001612A0"/>
    <w:rsid w:val="00165695"/>
    <w:rsid w:val="00167606"/>
    <w:rsid w:val="001717C0"/>
    <w:rsid w:val="0017692A"/>
    <w:rsid w:val="00186476"/>
    <w:rsid w:val="00186C79"/>
    <w:rsid w:val="0018744A"/>
    <w:rsid w:val="001879DB"/>
    <w:rsid w:val="00195AF3"/>
    <w:rsid w:val="00197B91"/>
    <w:rsid w:val="001A3C26"/>
    <w:rsid w:val="001B1C55"/>
    <w:rsid w:val="001B3542"/>
    <w:rsid w:val="001C11CD"/>
    <w:rsid w:val="001C2EBF"/>
    <w:rsid w:val="001C416B"/>
    <w:rsid w:val="001C4AA7"/>
    <w:rsid w:val="001C50D2"/>
    <w:rsid w:val="001D78A3"/>
    <w:rsid w:val="001E0F43"/>
    <w:rsid w:val="001E22F5"/>
    <w:rsid w:val="001E2DC5"/>
    <w:rsid w:val="001E312A"/>
    <w:rsid w:val="001E38F6"/>
    <w:rsid w:val="001E490D"/>
    <w:rsid w:val="001E5AF5"/>
    <w:rsid w:val="001F4C59"/>
    <w:rsid w:val="001F5B84"/>
    <w:rsid w:val="00204966"/>
    <w:rsid w:val="00206477"/>
    <w:rsid w:val="002158FC"/>
    <w:rsid w:val="00225208"/>
    <w:rsid w:val="002300A1"/>
    <w:rsid w:val="00231AC9"/>
    <w:rsid w:val="00244D90"/>
    <w:rsid w:val="002454A5"/>
    <w:rsid w:val="002501E5"/>
    <w:rsid w:val="00257870"/>
    <w:rsid w:val="00257923"/>
    <w:rsid w:val="00262B70"/>
    <w:rsid w:val="0026637B"/>
    <w:rsid w:val="002710ED"/>
    <w:rsid w:val="00276537"/>
    <w:rsid w:val="00280381"/>
    <w:rsid w:val="00281C4D"/>
    <w:rsid w:val="00296A9C"/>
    <w:rsid w:val="002A409A"/>
    <w:rsid w:val="002A4DA7"/>
    <w:rsid w:val="002B0FE4"/>
    <w:rsid w:val="002B182B"/>
    <w:rsid w:val="002B3C4E"/>
    <w:rsid w:val="002B734B"/>
    <w:rsid w:val="002C2A3E"/>
    <w:rsid w:val="002C4595"/>
    <w:rsid w:val="002C5C1D"/>
    <w:rsid w:val="002C7586"/>
    <w:rsid w:val="002E11D0"/>
    <w:rsid w:val="002F0663"/>
    <w:rsid w:val="002F0EE1"/>
    <w:rsid w:val="002F118B"/>
    <w:rsid w:val="002F17AE"/>
    <w:rsid w:val="002F1A08"/>
    <w:rsid w:val="002F2A32"/>
    <w:rsid w:val="002F2B2A"/>
    <w:rsid w:val="002F6BF6"/>
    <w:rsid w:val="002F79FA"/>
    <w:rsid w:val="00304BF2"/>
    <w:rsid w:val="003130F3"/>
    <w:rsid w:val="0031348C"/>
    <w:rsid w:val="0032636F"/>
    <w:rsid w:val="003277C5"/>
    <w:rsid w:val="0032795F"/>
    <w:rsid w:val="00327D7C"/>
    <w:rsid w:val="00330DD8"/>
    <w:rsid w:val="00330E97"/>
    <w:rsid w:val="00335D6B"/>
    <w:rsid w:val="00336729"/>
    <w:rsid w:val="0033688C"/>
    <w:rsid w:val="00336B5B"/>
    <w:rsid w:val="00336E10"/>
    <w:rsid w:val="00337949"/>
    <w:rsid w:val="00343D3D"/>
    <w:rsid w:val="00344029"/>
    <w:rsid w:val="00350FC3"/>
    <w:rsid w:val="00353C36"/>
    <w:rsid w:val="00355D91"/>
    <w:rsid w:val="00357744"/>
    <w:rsid w:val="00357C37"/>
    <w:rsid w:val="00371CE9"/>
    <w:rsid w:val="00371E46"/>
    <w:rsid w:val="00374672"/>
    <w:rsid w:val="003763F1"/>
    <w:rsid w:val="00376A81"/>
    <w:rsid w:val="00377DFE"/>
    <w:rsid w:val="0038289D"/>
    <w:rsid w:val="003848D8"/>
    <w:rsid w:val="0038546F"/>
    <w:rsid w:val="00385B82"/>
    <w:rsid w:val="00390513"/>
    <w:rsid w:val="003940CD"/>
    <w:rsid w:val="00395BFC"/>
    <w:rsid w:val="00396701"/>
    <w:rsid w:val="00396DD3"/>
    <w:rsid w:val="003A2AB5"/>
    <w:rsid w:val="003A3EDC"/>
    <w:rsid w:val="003A419E"/>
    <w:rsid w:val="003A5406"/>
    <w:rsid w:val="003B2DF2"/>
    <w:rsid w:val="003B6DCC"/>
    <w:rsid w:val="003B75D2"/>
    <w:rsid w:val="003C0D23"/>
    <w:rsid w:val="003C2E3E"/>
    <w:rsid w:val="003C37C4"/>
    <w:rsid w:val="003C7896"/>
    <w:rsid w:val="003D004D"/>
    <w:rsid w:val="003D0DFC"/>
    <w:rsid w:val="003D7BA6"/>
    <w:rsid w:val="003E0F2B"/>
    <w:rsid w:val="003F1E3C"/>
    <w:rsid w:val="003F542A"/>
    <w:rsid w:val="00403CFD"/>
    <w:rsid w:val="00405F86"/>
    <w:rsid w:val="0041549E"/>
    <w:rsid w:val="00420485"/>
    <w:rsid w:val="00422E82"/>
    <w:rsid w:val="004271D0"/>
    <w:rsid w:val="00431597"/>
    <w:rsid w:val="00441581"/>
    <w:rsid w:val="004444B4"/>
    <w:rsid w:val="00450355"/>
    <w:rsid w:val="0045254F"/>
    <w:rsid w:val="00461906"/>
    <w:rsid w:val="00461E22"/>
    <w:rsid w:val="00462A5E"/>
    <w:rsid w:val="0046707F"/>
    <w:rsid w:val="00471698"/>
    <w:rsid w:val="00472FBD"/>
    <w:rsid w:val="004751D5"/>
    <w:rsid w:val="00477458"/>
    <w:rsid w:val="00486CC5"/>
    <w:rsid w:val="004916CE"/>
    <w:rsid w:val="00492FAF"/>
    <w:rsid w:val="00494AD6"/>
    <w:rsid w:val="00495EA5"/>
    <w:rsid w:val="004B0C8B"/>
    <w:rsid w:val="004B0E06"/>
    <w:rsid w:val="004B6205"/>
    <w:rsid w:val="004B6ECD"/>
    <w:rsid w:val="004C04C9"/>
    <w:rsid w:val="004C0CD9"/>
    <w:rsid w:val="004C11B7"/>
    <w:rsid w:val="004C1300"/>
    <w:rsid w:val="004C524F"/>
    <w:rsid w:val="004C5EA8"/>
    <w:rsid w:val="004D1013"/>
    <w:rsid w:val="004D11B0"/>
    <w:rsid w:val="004D262B"/>
    <w:rsid w:val="004D3D84"/>
    <w:rsid w:val="004D591E"/>
    <w:rsid w:val="004E32B1"/>
    <w:rsid w:val="004F0531"/>
    <w:rsid w:val="004F30F7"/>
    <w:rsid w:val="004F3372"/>
    <w:rsid w:val="004F38BA"/>
    <w:rsid w:val="004F722B"/>
    <w:rsid w:val="004F7948"/>
    <w:rsid w:val="00502F7A"/>
    <w:rsid w:val="00505E1B"/>
    <w:rsid w:val="00511836"/>
    <w:rsid w:val="00512DFF"/>
    <w:rsid w:val="00514B63"/>
    <w:rsid w:val="00515C22"/>
    <w:rsid w:val="00520A40"/>
    <w:rsid w:val="00521B03"/>
    <w:rsid w:val="00522499"/>
    <w:rsid w:val="005238E0"/>
    <w:rsid w:val="00525596"/>
    <w:rsid w:val="00526A7B"/>
    <w:rsid w:val="00526D57"/>
    <w:rsid w:val="00527864"/>
    <w:rsid w:val="00531B93"/>
    <w:rsid w:val="005326E5"/>
    <w:rsid w:val="005333ED"/>
    <w:rsid w:val="0053736B"/>
    <w:rsid w:val="00537C91"/>
    <w:rsid w:val="00543DDB"/>
    <w:rsid w:val="00544DF5"/>
    <w:rsid w:val="005455E9"/>
    <w:rsid w:val="00551420"/>
    <w:rsid w:val="00555C4D"/>
    <w:rsid w:val="00560704"/>
    <w:rsid w:val="00560CC1"/>
    <w:rsid w:val="00563D53"/>
    <w:rsid w:val="005643D7"/>
    <w:rsid w:val="005652EE"/>
    <w:rsid w:val="00567495"/>
    <w:rsid w:val="00577DA3"/>
    <w:rsid w:val="00582173"/>
    <w:rsid w:val="0058375D"/>
    <w:rsid w:val="00587598"/>
    <w:rsid w:val="00587BA6"/>
    <w:rsid w:val="005928B0"/>
    <w:rsid w:val="00596615"/>
    <w:rsid w:val="005A02B1"/>
    <w:rsid w:val="005A08F0"/>
    <w:rsid w:val="005A5AB6"/>
    <w:rsid w:val="005B14DB"/>
    <w:rsid w:val="005B15F6"/>
    <w:rsid w:val="005B19DA"/>
    <w:rsid w:val="005C1F09"/>
    <w:rsid w:val="005C7865"/>
    <w:rsid w:val="005D2B6D"/>
    <w:rsid w:val="005D6496"/>
    <w:rsid w:val="005D6AA2"/>
    <w:rsid w:val="005E2BCF"/>
    <w:rsid w:val="005E436E"/>
    <w:rsid w:val="005E494F"/>
    <w:rsid w:val="005E593A"/>
    <w:rsid w:val="005E77F9"/>
    <w:rsid w:val="005E7E8D"/>
    <w:rsid w:val="005F0BF6"/>
    <w:rsid w:val="005F4E9E"/>
    <w:rsid w:val="005F6F96"/>
    <w:rsid w:val="00602995"/>
    <w:rsid w:val="00606AC2"/>
    <w:rsid w:val="00610418"/>
    <w:rsid w:val="00611596"/>
    <w:rsid w:val="0061200D"/>
    <w:rsid w:val="00612806"/>
    <w:rsid w:val="00615FA7"/>
    <w:rsid w:val="00621543"/>
    <w:rsid w:val="00627090"/>
    <w:rsid w:val="0063338C"/>
    <w:rsid w:val="00633936"/>
    <w:rsid w:val="006511DB"/>
    <w:rsid w:val="00653B2F"/>
    <w:rsid w:val="00655AFB"/>
    <w:rsid w:val="00661E67"/>
    <w:rsid w:val="006731E8"/>
    <w:rsid w:val="00674E9A"/>
    <w:rsid w:val="0067778A"/>
    <w:rsid w:val="006850CA"/>
    <w:rsid w:val="006A1CEB"/>
    <w:rsid w:val="006A348C"/>
    <w:rsid w:val="006A6BE6"/>
    <w:rsid w:val="006B444D"/>
    <w:rsid w:val="006B5619"/>
    <w:rsid w:val="006C0D6D"/>
    <w:rsid w:val="006C3CF0"/>
    <w:rsid w:val="006C59E7"/>
    <w:rsid w:val="006C7AD3"/>
    <w:rsid w:val="006D239E"/>
    <w:rsid w:val="006D388D"/>
    <w:rsid w:val="006D59B1"/>
    <w:rsid w:val="006E28F4"/>
    <w:rsid w:val="006E5111"/>
    <w:rsid w:val="006E7281"/>
    <w:rsid w:val="006F073F"/>
    <w:rsid w:val="006F09CF"/>
    <w:rsid w:val="006F51D9"/>
    <w:rsid w:val="006F624F"/>
    <w:rsid w:val="006F6272"/>
    <w:rsid w:val="00700196"/>
    <w:rsid w:val="00702783"/>
    <w:rsid w:val="00702ED5"/>
    <w:rsid w:val="00703045"/>
    <w:rsid w:val="00703AC0"/>
    <w:rsid w:val="007063BD"/>
    <w:rsid w:val="00706428"/>
    <w:rsid w:val="007065F5"/>
    <w:rsid w:val="0070766A"/>
    <w:rsid w:val="007121DF"/>
    <w:rsid w:val="00715646"/>
    <w:rsid w:val="00715EA4"/>
    <w:rsid w:val="00715ECF"/>
    <w:rsid w:val="007162FD"/>
    <w:rsid w:val="00716758"/>
    <w:rsid w:val="00716B29"/>
    <w:rsid w:val="00721424"/>
    <w:rsid w:val="007241FD"/>
    <w:rsid w:val="00724E95"/>
    <w:rsid w:val="007320E3"/>
    <w:rsid w:val="00733F6C"/>
    <w:rsid w:val="007357B4"/>
    <w:rsid w:val="00735EB6"/>
    <w:rsid w:val="00740440"/>
    <w:rsid w:val="00743807"/>
    <w:rsid w:val="00743E5C"/>
    <w:rsid w:val="00746895"/>
    <w:rsid w:val="00747689"/>
    <w:rsid w:val="007604A3"/>
    <w:rsid w:val="0076177F"/>
    <w:rsid w:val="007619AF"/>
    <w:rsid w:val="00772E08"/>
    <w:rsid w:val="0077342B"/>
    <w:rsid w:val="0077629E"/>
    <w:rsid w:val="0078065D"/>
    <w:rsid w:val="007877DA"/>
    <w:rsid w:val="007A21C4"/>
    <w:rsid w:val="007A2461"/>
    <w:rsid w:val="007B6C74"/>
    <w:rsid w:val="007B77E2"/>
    <w:rsid w:val="007C13F8"/>
    <w:rsid w:val="007C17B7"/>
    <w:rsid w:val="007C33AE"/>
    <w:rsid w:val="007D0D29"/>
    <w:rsid w:val="007D0FBA"/>
    <w:rsid w:val="007D1D1E"/>
    <w:rsid w:val="007D3295"/>
    <w:rsid w:val="007D5D1A"/>
    <w:rsid w:val="007E11EF"/>
    <w:rsid w:val="007E24CD"/>
    <w:rsid w:val="007E2F11"/>
    <w:rsid w:val="007E3605"/>
    <w:rsid w:val="007F77F0"/>
    <w:rsid w:val="00800541"/>
    <w:rsid w:val="008010BC"/>
    <w:rsid w:val="00801A99"/>
    <w:rsid w:val="00804516"/>
    <w:rsid w:val="0080586B"/>
    <w:rsid w:val="00805BE4"/>
    <w:rsid w:val="00807943"/>
    <w:rsid w:val="00810A6B"/>
    <w:rsid w:val="0081625D"/>
    <w:rsid w:val="00817E80"/>
    <w:rsid w:val="00830D91"/>
    <w:rsid w:val="00832F6B"/>
    <w:rsid w:val="00837E2B"/>
    <w:rsid w:val="00840611"/>
    <w:rsid w:val="00841739"/>
    <w:rsid w:val="008474E7"/>
    <w:rsid w:val="00851B56"/>
    <w:rsid w:val="00855E65"/>
    <w:rsid w:val="008632C6"/>
    <w:rsid w:val="008639EB"/>
    <w:rsid w:val="00864964"/>
    <w:rsid w:val="00866137"/>
    <w:rsid w:val="0086693D"/>
    <w:rsid w:val="00867971"/>
    <w:rsid w:val="00876A28"/>
    <w:rsid w:val="00877D8E"/>
    <w:rsid w:val="00880224"/>
    <w:rsid w:val="00897700"/>
    <w:rsid w:val="008A2CA5"/>
    <w:rsid w:val="008A7452"/>
    <w:rsid w:val="008B0323"/>
    <w:rsid w:val="008B1C19"/>
    <w:rsid w:val="008B6D9C"/>
    <w:rsid w:val="008C0181"/>
    <w:rsid w:val="008C12E4"/>
    <w:rsid w:val="008C358C"/>
    <w:rsid w:val="008C4C28"/>
    <w:rsid w:val="008C5CB4"/>
    <w:rsid w:val="008C7610"/>
    <w:rsid w:val="008D26CC"/>
    <w:rsid w:val="008D33D3"/>
    <w:rsid w:val="008E0660"/>
    <w:rsid w:val="008E2A11"/>
    <w:rsid w:val="008E3318"/>
    <w:rsid w:val="008E57BD"/>
    <w:rsid w:val="008E7280"/>
    <w:rsid w:val="008F0960"/>
    <w:rsid w:val="008F45AF"/>
    <w:rsid w:val="008F5C9B"/>
    <w:rsid w:val="008F6FD4"/>
    <w:rsid w:val="008F7F62"/>
    <w:rsid w:val="00900D93"/>
    <w:rsid w:val="0090353A"/>
    <w:rsid w:val="009068B5"/>
    <w:rsid w:val="00906CC1"/>
    <w:rsid w:val="009071C9"/>
    <w:rsid w:val="00911C8A"/>
    <w:rsid w:val="00913438"/>
    <w:rsid w:val="00913DE5"/>
    <w:rsid w:val="0091609E"/>
    <w:rsid w:val="0091624B"/>
    <w:rsid w:val="009165D4"/>
    <w:rsid w:val="0091725D"/>
    <w:rsid w:val="0092122A"/>
    <w:rsid w:val="00924784"/>
    <w:rsid w:val="00924FDA"/>
    <w:rsid w:val="00927B82"/>
    <w:rsid w:val="009375DF"/>
    <w:rsid w:val="00937F98"/>
    <w:rsid w:val="00943F94"/>
    <w:rsid w:val="009501C7"/>
    <w:rsid w:val="009535FB"/>
    <w:rsid w:val="00953F43"/>
    <w:rsid w:val="00970959"/>
    <w:rsid w:val="00972C79"/>
    <w:rsid w:val="0097417A"/>
    <w:rsid w:val="009770CC"/>
    <w:rsid w:val="009771AD"/>
    <w:rsid w:val="0098001A"/>
    <w:rsid w:val="009807A0"/>
    <w:rsid w:val="009824F6"/>
    <w:rsid w:val="009959C3"/>
    <w:rsid w:val="009966D6"/>
    <w:rsid w:val="0099747A"/>
    <w:rsid w:val="009A1B1A"/>
    <w:rsid w:val="009B3207"/>
    <w:rsid w:val="009B4A6B"/>
    <w:rsid w:val="009B4B5F"/>
    <w:rsid w:val="009C33B9"/>
    <w:rsid w:val="009C3519"/>
    <w:rsid w:val="009C435D"/>
    <w:rsid w:val="009C68EF"/>
    <w:rsid w:val="009C6BD8"/>
    <w:rsid w:val="009C7C12"/>
    <w:rsid w:val="009D1EB4"/>
    <w:rsid w:val="009D1EC0"/>
    <w:rsid w:val="009D1FA9"/>
    <w:rsid w:val="009D2041"/>
    <w:rsid w:val="009D2EC1"/>
    <w:rsid w:val="009D58D6"/>
    <w:rsid w:val="009D75F6"/>
    <w:rsid w:val="009E1BDD"/>
    <w:rsid w:val="009E622E"/>
    <w:rsid w:val="009E6391"/>
    <w:rsid w:val="009F062E"/>
    <w:rsid w:val="009F09BE"/>
    <w:rsid w:val="009F1D36"/>
    <w:rsid w:val="009F2BE0"/>
    <w:rsid w:val="009F6661"/>
    <w:rsid w:val="00A00EFF"/>
    <w:rsid w:val="00A02E7C"/>
    <w:rsid w:val="00A03132"/>
    <w:rsid w:val="00A03813"/>
    <w:rsid w:val="00A040C6"/>
    <w:rsid w:val="00A0576A"/>
    <w:rsid w:val="00A1005B"/>
    <w:rsid w:val="00A11060"/>
    <w:rsid w:val="00A1263D"/>
    <w:rsid w:val="00A2099E"/>
    <w:rsid w:val="00A32F4E"/>
    <w:rsid w:val="00A34649"/>
    <w:rsid w:val="00A45F86"/>
    <w:rsid w:val="00A5260D"/>
    <w:rsid w:val="00A566B1"/>
    <w:rsid w:val="00A66AF8"/>
    <w:rsid w:val="00A67B4D"/>
    <w:rsid w:val="00A71B9F"/>
    <w:rsid w:val="00A7767D"/>
    <w:rsid w:val="00A80AAE"/>
    <w:rsid w:val="00A8116B"/>
    <w:rsid w:val="00A863FC"/>
    <w:rsid w:val="00A925CB"/>
    <w:rsid w:val="00A97BF2"/>
    <w:rsid w:val="00AA1409"/>
    <w:rsid w:val="00AA1A30"/>
    <w:rsid w:val="00AA2D3D"/>
    <w:rsid w:val="00AA5674"/>
    <w:rsid w:val="00AB0339"/>
    <w:rsid w:val="00AB68E2"/>
    <w:rsid w:val="00AB6ECA"/>
    <w:rsid w:val="00AC28D0"/>
    <w:rsid w:val="00AC3157"/>
    <w:rsid w:val="00AD1BC3"/>
    <w:rsid w:val="00AD6EED"/>
    <w:rsid w:val="00AE1D14"/>
    <w:rsid w:val="00AE21F4"/>
    <w:rsid w:val="00AE3769"/>
    <w:rsid w:val="00AE415F"/>
    <w:rsid w:val="00AE7F82"/>
    <w:rsid w:val="00AF416D"/>
    <w:rsid w:val="00B004D2"/>
    <w:rsid w:val="00B01885"/>
    <w:rsid w:val="00B021C6"/>
    <w:rsid w:val="00B025D9"/>
    <w:rsid w:val="00B13EC5"/>
    <w:rsid w:val="00B158A1"/>
    <w:rsid w:val="00B1729C"/>
    <w:rsid w:val="00B20C50"/>
    <w:rsid w:val="00B21137"/>
    <w:rsid w:val="00B212C7"/>
    <w:rsid w:val="00B22660"/>
    <w:rsid w:val="00B27050"/>
    <w:rsid w:val="00B30A0C"/>
    <w:rsid w:val="00B32959"/>
    <w:rsid w:val="00B34D68"/>
    <w:rsid w:val="00B35E73"/>
    <w:rsid w:val="00B373EF"/>
    <w:rsid w:val="00B378B9"/>
    <w:rsid w:val="00B400F4"/>
    <w:rsid w:val="00B42CE2"/>
    <w:rsid w:val="00B5556A"/>
    <w:rsid w:val="00B57A95"/>
    <w:rsid w:val="00B6038D"/>
    <w:rsid w:val="00B61C02"/>
    <w:rsid w:val="00B63158"/>
    <w:rsid w:val="00B63F4D"/>
    <w:rsid w:val="00B669F5"/>
    <w:rsid w:val="00B67F7C"/>
    <w:rsid w:val="00B747AE"/>
    <w:rsid w:val="00B75EF4"/>
    <w:rsid w:val="00B835AF"/>
    <w:rsid w:val="00B84399"/>
    <w:rsid w:val="00B84F80"/>
    <w:rsid w:val="00B85CBF"/>
    <w:rsid w:val="00B95C38"/>
    <w:rsid w:val="00BA44EA"/>
    <w:rsid w:val="00BA5FD2"/>
    <w:rsid w:val="00BA7D7C"/>
    <w:rsid w:val="00BB061A"/>
    <w:rsid w:val="00BB06BD"/>
    <w:rsid w:val="00BB071A"/>
    <w:rsid w:val="00BB7D90"/>
    <w:rsid w:val="00BC0F73"/>
    <w:rsid w:val="00BC7DD3"/>
    <w:rsid w:val="00BD6EEA"/>
    <w:rsid w:val="00BE10BC"/>
    <w:rsid w:val="00BE2416"/>
    <w:rsid w:val="00BE5815"/>
    <w:rsid w:val="00BE5A17"/>
    <w:rsid w:val="00BE5E1A"/>
    <w:rsid w:val="00BE615A"/>
    <w:rsid w:val="00BE76B6"/>
    <w:rsid w:val="00BE7BBE"/>
    <w:rsid w:val="00BF4AA6"/>
    <w:rsid w:val="00BF60A3"/>
    <w:rsid w:val="00BF613B"/>
    <w:rsid w:val="00BF6AED"/>
    <w:rsid w:val="00BF7E40"/>
    <w:rsid w:val="00C0027E"/>
    <w:rsid w:val="00C00B12"/>
    <w:rsid w:val="00C02C32"/>
    <w:rsid w:val="00C06CB5"/>
    <w:rsid w:val="00C10627"/>
    <w:rsid w:val="00C13F3E"/>
    <w:rsid w:val="00C16462"/>
    <w:rsid w:val="00C1667E"/>
    <w:rsid w:val="00C26987"/>
    <w:rsid w:val="00C26DA3"/>
    <w:rsid w:val="00C336D6"/>
    <w:rsid w:val="00C348C1"/>
    <w:rsid w:val="00C41066"/>
    <w:rsid w:val="00C410AA"/>
    <w:rsid w:val="00C414B9"/>
    <w:rsid w:val="00C4368C"/>
    <w:rsid w:val="00C44FD9"/>
    <w:rsid w:val="00C479F0"/>
    <w:rsid w:val="00C54199"/>
    <w:rsid w:val="00C56027"/>
    <w:rsid w:val="00C62BFA"/>
    <w:rsid w:val="00C664DB"/>
    <w:rsid w:val="00C771BD"/>
    <w:rsid w:val="00C825CE"/>
    <w:rsid w:val="00C828C5"/>
    <w:rsid w:val="00C82D24"/>
    <w:rsid w:val="00C8760F"/>
    <w:rsid w:val="00C87AEB"/>
    <w:rsid w:val="00C90800"/>
    <w:rsid w:val="00C92B11"/>
    <w:rsid w:val="00C9300C"/>
    <w:rsid w:val="00C94C69"/>
    <w:rsid w:val="00CA4F08"/>
    <w:rsid w:val="00CA6C18"/>
    <w:rsid w:val="00CB2467"/>
    <w:rsid w:val="00CB6759"/>
    <w:rsid w:val="00CC49C3"/>
    <w:rsid w:val="00CC4A4F"/>
    <w:rsid w:val="00CC51A1"/>
    <w:rsid w:val="00CC6ABF"/>
    <w:rsid w:val="00CD24E1"/>
    <w:rsid w:val="00CD43A9"/>
    <w:rsid w:val="00CE5738"/>
    <w:rsid w:val="00CE7337"/>
    <w:rsid w:val="00CF4003"/>
    <w:rsid w:val="00CF537C"/>
    <w:rsid w:val="00D01844"/>
    <w:rsid w:val="00D048EC"/>
    <w:rsid w:val="00D10DAD"/>
    <w:rsid w:val="00D10F8E"/>
    <w:rsid w:val="00D20BAD"/>
    <w:rsid w:val="00D235D7"/>
    <w:rsid w:val="00D3215B"/>
    <w:rsid w:val="00D37301"/>
    <w:rsid w:val="00D54D8B"/>
    <w:rsid w:val="00D62A4F"/>
    <w:rsid w:val="00D632E7"/>
    <w:rsid w:val="00D72B4C"/>
    <w:rsid w:val="00D72C42"/>
    <w:rsid w:val="00D73B9F"/>
    <w:rsid w:val="00D77C3B"/>
    <w:rsid w:val="00D81443"/>
    <w:rsid w:val="00D81BC5"/>
    <w:rsid w:val="00D821A3"/>
    <w:rsid w:val="00D837D3"/>
    <w:rsid w:val="00D86D0D"/>
    <w:rsid w:val="00D922B5"/>
    <w:rsid w:val="00D93CAE"/>
    <w:rsid w:val="00D9584C"/>
    <w:rsid w:val="00D97DA3"/>
    <w:rsid w:val="00D97F8E"/>
    <w:rsid w:val="00DA03BE"/>
    <w:rsid w:val="00DA16D2"/>
    <w:rsid w:val="00DA3DE9"/>
    <w:rsid w:val="00DB27A2"/>
    <w:rsid w:val="00DB668D"/>
    <w:rsid w:val="00DB6741"/>
    <w:rsid w:val="00DC0906"/>
    <w:rsid w:val="00DC4574"/>
    <w:rsid w:val="00DC5F2B"/>
    <w:rsid w:val="00DC71AF"/>
    <w:rsid w:val="00DC726E"/>
    <w:rsid w:val="00DD39B7"/>
    <w:rsid w:val="00DD46DF"/>
    <w:rsid w:val="00DD7DD4"/>
    <w:rsid w:val="00DE0909"/>
    <w:rsid w:val="00DE5A50"/>
    <w:rsid w:val="00DE74BE"/>
    <w:rsid w:val="00DF0B6C"/>
    <w:rsid w:val="00DF0D6E"/>
    <w:rsid w:val="00DF2B9F"/>
    <w:rsid w:val="00E021D1"/>
    <w:rsid w:val="00E02414"/>
    <w:rsid w:val="00E047B4"/>
    <w:rsid w:val="00E123E7"/>
    <w:rsid w:val="00E1577C"/>
    <w:rsid w:val="00E24017"/>
    <w:rsid w:val="00E25378"/>
    <w:rsid w:val="00E260A6"/>
    <w:rsid w:val="00E26FED"/>
    <w:rsid w:val="00E2726D"/>
    <w:rsid w:val="00E30710"/>
    <w:rsid w:val="00E4027E"/>
    <w:rsid w:val="00E40A31"/>
    <w:rsid w:val="00E46253"/>
    <w:rsid w:val="00E46E3F"/>
    <w:rsid w:val="00E50317"/>
    <w:rsid w:val="00E52F5F"/>
    <w:rsid w:val="00E54304"/>
    <w:rsid w:val="00E634E1"/>
    <w:rsid w:val="00E65FD4"/>
    <w:rsid w:val="00E66DCC"/>
    <w:rsid w:val="00E67481"/>
    <w:rsid w:val="00E67D95"/>
    <w:rsid w:val="00E7068E"/>
    <w:rsid w:val="00E71A27"/>
    <w:rsid w:val="00E726BA"/>
    <w:rsid w:val="00E72B69"/>
    <w:rsid w:val="00E74D11"/>
    <w:rsid w:val="00E75B18"/>
    <w:rsid w:val="00E77994"/>
    <w:rsid w:val="00E80F5F"/>
    <w:rsid w:val="00E83CE1"/>
    <w:rsid w:val="00E84105"/>
    <w:rsid w:val="00E87247"/>
    <w:rsid w:val="00E95D23"/>
    <w:rsid w:val="00EA344D"/>
    <w:rsid w:val="00EA3C91"/>
    <w:rsid w:val="00EA406F"/>
    <w:rsid w:val="00EC7680"/>
    <w:rsid w:val="00ED7BDD"/>
    <w:rsid w:val="00EE30C0"/>
    <w:rsid w:val="00EF0043"/>
    <w:rsid w:val="00EF0199"/>
    <w:rsid w:val="00EF04CD"/>
    <w:rsid w:val="00EF4E06"/>
    <w:rsid w:val="00EF6522"/>
    <w:rsid w:val="00F1256F"/>
    <w:rsid w:val="00F16D3E"/>
    <w:rsid w:val="00F17B42"/>
    <w:rsid w:val="00F2076F"/>
    <w:rsid w:val="00F22C97"/>
    <w:rsid w:val="00F259E1"/>
    <w:rsid w:val="00F25D7B"/>
    <w:rsid w:val="00F33A85"/>
    <w:rsid w:val="00F359F7"/>
    <w:rsid w:val="00F37F7F"/>
    <w:rsid w:val="00F40E99"/>
    <w:rsid w:val="00F43F24"/>
    <w:rsid w:val="00F4528A"/>
    <w:rsid w:val="00F456B4"/>
    <w:rsid w:val="00F502AE"/>
    <w:rsid w:val="00F50C82"/>
    <w:rsid w:val="00F50EEE"/>
    <w:rsid w:val="00F50FBF"/>
    <w:rsid w:val="00F53058"/>
    <w:rsid w:val="00F57D52"/>
    <w:rsid w:val="00F60033"/>
    <w:rsid w:val="00F6065B"/>
    <w:rsid w:val="00F613E1"/>
    <w:rsid w:val="00F66BC4"/>
    <w:rsid w:val="00F76F7D"/>
    <w:rsid w:val="00F777DC"/>
    <w:rsid w:val="00F80CEE"/>
    <w:rsid w:val="00F82B56"/>
    <w:rsid w:val="00F849E0"/>
    <w:rsid w:val="00F86F37"/>
    <w:rsid w:val="00F8746A"/>
    <w:rsid w:val="00F876C4"/>
    <w:rsid w:val="00F90B94"/>
    <w:rsid w:val="00F921BA"/>
    <w:rsid w:val="00F92EF1"/>
    <w:rsid w:val="00F93CE8"/>
    <w:rsid w:val="00F95562"/>
    <w:rsid w:val="00F95DAD"/>
    <w:rsid w:val="00F977DA"/>
    <w:rsid w:val="00FB24A2"/>
    <w:rsid w:val="00FB2BFA"/>
    <w:rsid w:val="00FB3095"/>
    <w:rsid w:val="00FB434B"/>
    <w:rsid w:val="00FB6343"/>
    <w:rsid w:val="00FB6494"/>
    <w:rsid w:val="00FB7D6D"/>
    <w:rsid w:val="00FB7DB7"/>
    <w:rsid w:val="00FB7F70"/>
    <w:rsid w:val="00FC27D3"/>
    <w:rsid w:val="00FC5240"/>
    <w:rsid w:val="00FC7DF6"/>
    <w:rsid w:val="00FD5B92"/>
    <w:rsid w:val="00FD6940"/>
    <w:rsid w:val="00FE188B"/>
    <w:rsid w:val="00FE282D"/>
    <w:rsid w:val="00FE444D"/>
    <w:rsid w:val="00FE525E"/>
    <w:rsid w:val="00FF15A0"/>
    <w:rsid w:val="00FF202F"/>
    <w:rsid w:val="00FF3BC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43923"/>
  <w15:chartTrackingRefBased/>
  <w15:docId w15:val="{AA31E1C5-19A4-4548-B0E0-4295B23E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7DF6"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DF6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7241FD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FF15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15A0"/>
  </w:style>
  <w:style w:type="paragraph" w:styleId="Stopka">
    <w:name w:val="footer"/>
    <w:basedOn w:val="Normalny"/>
    <w:link w:val="StopkaZnak"/>
    <w:uiPriority w:val="99"/>
    <w:unhideWhenUsed/>
    <w:rsid w:val="00FF15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5A0"/>
  </w:style>
  <w:style w:type="paragraph" w:customStyle="1" w:styleId="Standard">
    <w:name w:val="Standard"/>
    <w:rsid w:val="00FF15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C7DF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7DF6"/>
    <w:rPr>
      <w:rFonts w:ascii="Calibri Light" w:eastAsia="Times New Roman" w:hAnsi="Calibri Light" w:cs="Times New Roman"/>
      <w:color w:val="2F5496"/>
      <w:kern w:val="3"/>
      <w:sz w:val="26"/>
      <w:szCs w:val="26"/>
      <w:lang w:eastAsia="pl-PL"/>
    </w:rPr>
  </w:style>
  <w:style w:type="paragraph" w:customStyle="1" w:styleId="Heading">
    <w:name w:val="Heading"/>
    <w:basedOn w:val="Standard"/>
    <w:next w:val="Textbody"/>
    <w:rsid w:val="00FC7DF6"/>
    <w:pPr>
      <w:keepNext/>
      <w:widowControl/>
      <w:spacing w:before="240" w:after="120" w:line="276" w:lineRule="auto"/>
    </w:pPr>
    <w:rPr>
      <w:rFonts w:ascii="Arial" w:eastAsia="Microsoft YaHei" w:hAnsi="Arial" w:cs="Arial"/>
      <w:sz w:val="28"/>
      <w:szCs w:val="28"/>
      <w:lang w:eastAsia="en-US" w:bidi="ar-SA"/>
    </w:rPr>
  </w:style>
  <w:style w:type="paragraph" w:customStyle="1" w:styleId="Textbody">
    <w:name w:val="Text body"/>
    <w:basedOn w:val="Standard"/>
    <w:rsid w:val="00FC7DF6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a">
    <w:name w:val="List"/>
    <w:basedOn w:val="Textbody"/>
    <w:rsid w:val="00FC7DF6"/>
    <w:rPr>
      <w:rFonts w:cs="Arial"/>
    </w:rPr>
  </w:style>
  <w:style w:type="paragraph" w:styleId="Legenda">
    <w:name w:val="caption"/>
    <w:basedOn w:val="Standard"/>
    <w:qFormat/>
    <w:rsid w:val="00FC7DF6"/>
    <w:pPr>
      <w:widowControl/>
      <w:suppressLineNumbers/>
      <w:spacing w:before="120" w:after="120" w:line="276" w:lineRule="auto"/>
    </w:pPr>
    <w:rPr>
      <w:rFonts w:ascii="Calibri" w:eastAsia="Calibri" w:hAnsi="Calibri" w:cs="Arial"/>
      <w:i/>
      <w:iCs/>
      <w:lang w:eastAsia="en-US" w:bidi="ar-SA"/>
    </w:rPr>
  </w:style>
  <w:style w:type="paragraph" w:customStyle="1" w:styleId="Index">
    <w:name w:val="Index"/>
    <w:basedOn w:val="Standard"/>
    <w:rsid w:val="00FC7DF6"/>
    <w:pPr>
      <w:widowControl/>
      <w:suppressLineNumbers/>
      <w:spacing w:after="200" w:line="276" w:lineRule="auto"/>
    </w:pPr>
    <w:rPr>
      <w:rFonts w:ascii="Calibri" w:eastAsia="Calibri" w:hAnsi="Calibri" w:cs="Arial"/>
      <w:sz w:val="22"/>
      <w:szCs w:val="22"/>
      <w:lang w:eastAsia="en-US" w:bidi="ar-SA"/>
    </w:rPr>
  </w:style>
  <w:style w:type="paragraph" w:styleId="Tekstdymka">
    <w:name w:val="Balloon Text"/>
    <w:basedOn w:val="Standard"/>
    <w:link w:val="TekstdymkaZnak"/>
    <w:rsid w:val="00FC7DF6"/>
    <w:pPr>
      <w:widowControl/>
    </w:pPr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rsid w:val="00FC7DF6"/>
    <w:rPr>
      <w:rFonts w:ascii="Tahoma" w:eastAsia="Calibri" w:hAnsi="Tahoma" w:cs="Tahoma"/>
      <w:kern w:val="3"/>
      <w:sz w:val="16"/>
      <w:szCs w:val="16"/>
    </w:rPr>
  </w:style>
  <w:style w:type="paragraph" w:styleId="Akapitzlist">
    <w:name w:val="List Paragraph"/>
    <w:basedOn w:val="Standard"/>
    <w:uiPriority w:val="34"/>
    <w:qFormat/>
    <w:rsid w:val="00FC7DF6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kstprzypisukocowego">
    <w:name w:val="endnote text"/>
    <w:basedOn w:val="Standard"/>
    <w:link w:val="TekstprzypisukocowegoZnak"/>
    <w:rsid w:val="00FC7DF6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7DF6"/>
    <w:rPr>
      <w:rFonts w:ascii="Calibri" w:eastAsia="Calibri" w:hAnsi="Calibri" w:cs="Times New Roman"/>
      <w:kern w:val="3"/>
      <w:sz w:val="20"/>
      <w:szCs w:val="20"/>
    </w:rPr>
  </w:style>
  <w:style w:type="paragraph" w:customStyle="1" w:styleId="celp">
    <w:name w:val="cel_p"/>
    <w:basedOn w:val="Standard"/>
    <w:rsid w:val="00FC7DF6"/>
    <w:pPr>
      <w:widowControl/>
      <w:spacing w:before="100" w:after="100"/>
    </w:pPr>
    <w:rPr>
      <w:rFonts w:eastAsia="Times New Roman" w:cs="Times New Roman"/>
      <w:lang w:eastAsia="pl-PL" w:bidi="ar-SA"/>
    </w:rPr>
  </w:style>
  <w:style w:type="paragraph" w:styleId="Tekstkomentarza">
    <w:name w:val="annotation text"/>
    <w:basedOn w:val="Standard"/>
    <w:link w:val="TekstkomentarzaZnak"/>
    <w:rsid w:val="00FC7DF6"/>
    <w:pPr>
      <w:widowControl/>
      <w:spacing w:after="200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rsid w:val="00FC7DF6"/>
    <w:rPr>
      <w:rFonts w:ascii="Calibri" w:eastAsia="Calibri" w:hAnsi="Calibri" w:cs="Times New Roman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FC7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C7DF6"/>
    <w:rPr>
      <w:rFonts w:ascii="Calibri" w:eastAsia="Calibri" w:hAnsi="Calibri" w:cs="Times New Roman"/>
      <w:b/>
      <w:bCs/>
      <w:kern w:val="3"/>
      <w:sz w:val="20"/>
      <w:szCs w:val="20"/>
    </w:rPr>
  </w:style>
  <w:style w:type="paragraph" w:customStyle="1" w:styleId="ListParagraph1">
    <w:name w:val="List Paragraph1"/>
    <w:basedOn w:val="Standard"/>
    <w:rsid w:val="00FC7DF6"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Odwoanieprzypisukocowego">
    <w:name w:val="endnote reference"/>
    <w:basedOn w:val="Domylnaczcionkaakapitu"/>
    <w:rsid w:val="00FC7DF6"/>
    <w:rPr>
      <w:rFonts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rsid w:val="00FC7DF6"/>
    <w:rPr>
      <w:rFonts w:cs="Times New Roman"/>
      <w:sz w:val="16"/>
      <w:szCs w:val="16"/>
    </w:rPr>
  </w:style>
  <w:style w:type="character" w:customStyle="1" w:styleId="ListLabel1">
    <w:name w:val="ListLabel 1"/>
    <w:rsid w:val="00FC7DF6"/>
    <w:rPr>
      <w:rFonts w:eastAsia="Times New Roman"/>
    </w:rPr>
  </w:style>
  <w:style w:type="character" w:customStyle="1" w:styleId="ListLabel2">
    <w:name w:val="ListLabel 2"/>
    <w:rsid w:val="00FC7DF6"/>
    <w:rPr>
      <w:rFonts w:cs="Times New Roman"/>
    </w:rPr>
  </w:style>
  <w:style w:type="character" w:customStyle="1" w:styleId="StrongEmphasis">
    <w:name w:val="Strong Emphasis"/>
    <w:rsid w:val="00FC7DF6"/>
    <w:rPr>
      <w:b/>
      <w:bCs/>
    </w:rPr>
  </w:style>
  <w:style w:type="character" w:styleId="Uwydatnienie">
    <w:name w:val="Emphasis"/>
    <w:basedOn w:val="Domylnaczcionkaakapitu"/>
    <w:rsid w:val="00FC7DF6"/>
    <w:rPr>
      <w:i/>
      <w:iCs/>
    </w:rPr>
  </w:style>
  <w:style w:type="paragraph" w:customStyle="1" w:styleId="Akapitzlist1">
    <w:name w:val="Akapit z listą1"/>
    <w:basedOn w:val="Normalny"/>
    <w:rsid w:val="00FC7DF6"/>
    <w:pPr>
      <w:widowControl/>
      <w:suppressAutoHyphens w:val="0"/>
      <w:spacing w:after="200" w:line="276" w:lineRule="auto"/>
      <w:ind w:left="720"/>
      <w:textAlignment w:val="auto"/>
    </w:pPr>
    <w:rPr>
      <w:rFonts w:eastAsia="Times New Roman"/>
      <w:kern w:val="0"/>
      <w:lang w:eastAsia="en-US"/>
    </w:rPr>
  </w:style>
  <w:style w:type="character" w:customStyle="1" w:styleId="ListParagraphChar">
    <w:name w:val="List Paragraph Char"/>
    <w:rsid w:val="00FC7DF6"/>
    <w:rPr>
      <w:rFonts w:eastAsia="Times New Roman"/>
      <w:kern w:val="0"/>
      <w:lang w:eastAsia="en-US"/>
    </w:rPr>
  </w:style>
  <w:style w:type="character" w:styleId="Hipercze">
    <w:name w:val="Hyperlink"/>
    <w:basedOn w:val="Domylnaczcionkaakapitu"/>
    <w:rsid w:val="00FC7DF6"/>
    <w:rPr>
      <w:color w:val="0000FF"/>
      <w:u w:val="single"/>
    </w:rPr>
  </w:style>
  <w:style w:type="paragraph" w:customStyle="1" w:styleId="xl65">
    <w:name w:val="xl65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66">
    <w:name w:val="xl6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Garamond" w:eastAsia="Times New Roman" w:hAnsi="Garamond"/>
      <w:kern w:val="0"/>
      <w:sz w:val="16"/>
      <w:szCs w:val="16"/>
    </w:rPr>
  </w:style>
  <w:style w:type="paragraph" w:customStyle="1" w:styleId="xl67">
    <w:name w:val="xl67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68">
    <w:name w:val="xl68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69">
    <w:name w:val="xl69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70">
    <w:name w:val="xl70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71">
    <w:name w:val="xl71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2">
    <w:name w:val="xl72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3">
    <w:name w:val="xl73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74">
    <w:name w:val="xl74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75">
    <w:name w:val="xl75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6">
    <w:name w:val="xl7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7">
    <w:name w:val="xl77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jc w:val="center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8">
    <w:name w:val="xl78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79">
    <w:name w:val="xl79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80">
    <w:name w:val="xl80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Arial CE" w:eastAsia="Times New Roman" w:hAnsi="Arial CE"/>
      <w:b/>
      <w:bCs/>
      <w:kern w:val="0"/>
      <w:sz w:val="16"/>
      <w:szCs w:val="16"/>
    </w:rPr>
  </w:style>
  <w:style w:type="paragraph" w:customStyle="1" w:styleId="xl81">
    <w:name w:val="xl81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82">
    <w:name w:val="xl82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83">
    <w:name w:val="xl83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84">
    <w:name w:val="xl84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85">
    <w:name w:val="xl85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Arial CE" w:eastAsia="Times New Roman" w:hAnsi="Arial CE"/>
      <w:b/>
      <w:bCs/>
      <w:i/>
      <w:iCs/>
      <w:kern w:val="0"/>
      <w:sz w:val="16"/>
      <w:szCs w:val="16"/>
    </w:rPr>
  </w:style>
  <w:style w:type="paragraph" w:customStyle="1" w:styleId="xl86">
    <w:name w:val="xl8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87">
    <w:name w:val="xl87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88">
    <w:name w:val="xl88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89">
    <w:name w:val="xl89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90">
    <w:name w:val="xl90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91">
    <w:name w:val="xl91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92">
    <w:name w:val="xl92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93">
    <w:name w:val="xl93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94">
    <w:name w:val="xl94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95">
    <w:name w:val="xl95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96">
    <w:name w:val="xl9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97">
    <w:name w:val="xl97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98">
    <w:name w:val="xl98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99">
    <w:name w:val="xl99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00">
    <w:name w:val="xl100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01">
    <w:name w:val="xl101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02">
    <w:name w:val="xl102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03">
    <w:name w:val="xl103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Arial CE" w:eastAsia="Times New Roman" w:hAnsi="Arial CE"/>
      <w:b/>
      <w:bCs/>
      <w:kern w:val="0"/>
      <w:sz w:val="16"/>
      <w:szCs w:val="16"/>
    </w:rPr>
  </w:style>
  <w:style w:type="paragraph" w:customStyle="1" w:styleId="xl104">
    <w:name w:val="xl104"/>
    <w:basedOn w:val="Normalny"/>
    <w:rsid w:val="00FC7DF6"/>
    <w:pPr>
      <w:widowControl/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05">
    <w:name w:val="xl105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06">
    <w:name w:val="xl10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07">
    <w:name w:val="xl107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08">
    <w:name w:val="xl108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09">
    <w:name w:val="xl109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0">
    <w:name w:val="xl110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1">
    <w:name w:val="xl111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2">
    <w:name w:val="xl112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3">
    <w:name w:val="xl113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4">
    <w:name w:val="xl114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5">
    <w:name w:val="xl115"/>
    <w:basedOn w:val="Normalny"/>
    <w:rsid w:val="00FC7DF6"/>
    <w:pPr>
      <w:widowControl/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6">
    <w:name w:val="xl116"/>
    <w:basedOn w:val="Normalny"/>
    <w:rsid w:val="00FC7DF6"/>
    <w:pPr>
      <w:widowControl/>
      <w:suppressAutoHyphens w:val="0"/>
      <w:spacing w:before="100" w:after="100"/>
      <w:jc w:val="right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17">
    <w:name w:val="xl117"/>
    <w:basedOn w:val="Normalny"/>
    <w:rsid w:val="00FC7DF6"/>
    <w:pPr>
      <w:widowControl/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8">
    <w:name w:val="xl118"/>
    <w:basedOn w:val="Normalny"/>
    <w:rsid w:val="00FC7DF6"/>
    <w:pPr>
      <w:widowControl/>
      <w:suppressAutoHyphens w:val="0"/>
      <w:spacing w:before="100" w:after="100"/>
      <w:jc w:val="right"/>
      <w:textAlignment w:val="auto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19">
    <w:name w:val="xl119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jc w:val="right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0">
    <w:name w:val="xl120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jc w:val="right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1">
    <w:name w:val="xl121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22">
    <w:name w:val="xl122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auto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23">
    <w:name w:val="xl123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4">
    <w:name w:val="xl124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5">
    <w:name w:val="xl125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Arial CE" w:eastAsia="Times New Roman" w:hAnsi="Arial CE"/>
      <w:b/>
      <w:bCs/>
      <w:kern w:val="0"/>
      <w:sz w:val="16"/>
      <w:szCs w:val="16"/>
    </w:rPr>
  </w:style>
  <w:style w:type="paragraph" w:customStyle="1" w:styleId="xl126">
    <w:name w:val="xl126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7">
    <w:name w:val="xl127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8">
    <w:name w:val="xl128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29">
    <w:name w:val="xl129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30">
    <w:name w:val="xl130"/>
    <w:basedOn w:val="Normalny"/>
    <w:rsid w:val="00FC7DF6"/>
    <w:pPr>
      <w:widowControl/>
      <w:suppressAutoHyphens w:val="0"/>
      <w:spacing w:before="100" w:after="100"/>
      <w:jc w:val="center"/>
      <w:textAlignment w:val="auto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31">
    <w:name w:val="xl131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32">
    <w:name w:val="xl132"/>
    <w:basedOn w:val="Normalny"/>
    <w:rsid w:val="00FC7DF6"/>
    <w:pPr>
      <w:widowControl/>
      <w:suppressAutoHyphens w:val="0"/>
      <w:spacing w:before="100" w:after="100"/>
      <w:jc w:val="right"/>
      <w:textAlignment w:val="center"/>
    </w:pPr>
    <w:rPr>
      <w:rFonts w:ascii="Garamond" w:eastAsia="Times New Roman" w:hAnsi="Garamond"/>
      <w:kern w:val="0"/>
      <w:sz w:val="16"/>
      <w:szCs w:val="16"/>
    </w:rPr>
  </w:style>
  <w:style w:type="paragraph" w:customStyle="1" w:styleId="xl133">
    <w:name w:val="xl133"/>
    <w:basedOn w:val="Normalny"/>
    <w:rsid w:val="00FC7D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34">
    <w:name w:val="xl134"/>
    <w:basedOn w:val="Normalny"/>
    <w:rsid w:val="00FC7DF6"/>
    <w:pPr>
      <w:widowControl/>
      <w:suppressAutoHyphens w:val="0"/>
      <w:spacing w:before="100" w:after="100"/>
      <w:jc w:val="center"/>
      <w:textAlignment w:val="center"/>
    </w:pPr>
    <w:rPr>
      <w:rFonts w:ascii="Garamond" w:eastAsia="Times New Roman" w:hAnsi="Garamond"/>
      <w:b/>
      <w:bCs/>
      <w:i/>
      <w:iCs/>
      <w:kern w:val="0"/>
      <w:sz w:val="16"/>
      <w:szCs w:val="16"/>
    </w:rPr>
  </w:style>
  <w:style w:type="paragraph" w:customStyle="1" w:styleId="xl135">
    <w:name w:val="xl135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Garamond" w:eastAsia="Times New Roman" w:hAnsi="Garamond"/>
      <w:b/>
      <w:bCs/>
      <w:kern w:val="0"/>
      <w:sz w:val="16"/>
      <w:szCs w:val="16"/>
    </w:rPr>
  </w:style>
  <w:style w:type="paragraph" w:customStyle="1" w:styleId="xl136">
    <w:name w:val="xl136"/>
    <w:basedOn w:val="Normalny"/>
    <w:rsid w:val="00FC7D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 w:val="0"/>
      <w:spacing w:before="100" w:after="100"/>
      <w:textAlignment w:val="center"/>
    </w:pPr>
    <w:rPr>
      <w:rFonts w:ascii="Arial CE" w:eastAsia="Times New Roman" w:hAnsi="Arial CE"/>
      <w:b/>
      <w:bCs/>
      <w:kern w:val="0"/>
      <w:sz w:val="16"/>
      <w:szCs w:val="16"/>
    </w:rPr>
  </w:style>
  <w:style w:type="paragraph" w:customStyle="1" w:styleId="xl137">
    <w:name w:val="xl137"/>
    <w:basedOn w:val="Normalny"/>
    <w:rsid w:val="00FC7DF6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16"/>
      <w:szCs w:val="16"/>
    </w:rPr>
  </w:style>
  <w:style w:type="character" w:styleId="UyteHipercze">
    <w:name w:val="FollowedHyperlink"/>
    <w:basedOn w:val="Domylnaczcionkaakapitu"/>
    <w:rsid w:val="00FC7DF6"/>
    <w:rPr>
      <w:color w:val="800080"/>
      <w:u w:val="single"/>
    </w:rPr>
  </w:style>
  <w:style w:type="paragraph" w:styleId="Bezodstpw">
    <w:name w:val="No Spacing"/>
    <w:qFormat/>
    <w:rsid w:val="00FC7DF6"/>
    <w:pPr>
      <w:autoSpaceDN w:val="0"/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FC7DF6"/>
    <w:pPr>
      <w:widowControl/>
      <w:suppressAutoHyphens w:val="0"/>
      <w:textAlignment w:val="auto"/>
    </w:pPr>
    <w:rPr>
      <w:rFonts w:ascii="Times New Roman" w:eastAsia="Times New Roman" w:hAnsi="Times New Roman"/>
      <w:kern w:val="0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C7DF6"/>
    <w:rPr>
      <w:rFonts w:ascii="Times New Roman" w:eastAsia="Times New Roman" w:hAnsi="Times New Roman" w:cs="Times New Roman"/>
      <w:sz w:val="28"/>
      <w:szCs w:val="24"/>
      <w:lang w:eastAsia="pl-PL"/>
    </w:rPr>
  </w:style>
  <w:style w:type="numbering" w:customStyle="1" w:styleId="WWNum1">
    <w:name w:val="WWNum1"/>
    <w:basedOn w:val="Bezlisty"/>
    <w:rsid w:val="00FC7DF6"/>
    <w:pPr>
      <w:numPr>
        <w:numId w:val="2"/>
      </w:numPr>
    </w:pPr>
  </w:style>
  <w:style w:type="numbering" w:customStyle="1" w:styleId="WWNum2">
    <w:name w:val="WWNum2"/>
    <w:basedOn w:val="Bezlisty"/>
    <w:rsid w:val="00FC7DF6"/>
    <w:pPr>
      <w:numPr>
        <w:numId w:val="3"/>
      </w:numPr>
    </w:pPr>
  </w:style>
  <w:style w:type="numbering" w:customStyle="1" w:styleId="WWNum3">
    <w:name w:val="WWNum3"/>
    <w:basedOn w:val="Bezlisty"/>
    <w:rsid w:val="00FC7DF6"/>
    <w:pPr>
      <w:numPr>
        <w:numId w:val="4"/>
      </w:numPr>
    </w:pPr>
  </w:style>
  <w:style w:type="numbering" w:customStyle="1" w:styleId="WWNum4">
    <w:name w:val="WWNum4"/>
    <w:basedOn w:val="Bezlisty"/>
    <w:rsid w:val="00FC7DF6"/>
    <w:pPr>
      <w:numPr>
        <w:numId w:val="5"/>
      </w:numPr>
    </w:pPr>
  </w:style>
  <w:style w:type="numbering" w:customStyle="1" w:styleId="WWNum5">
    <w:name w:val="WWNum5"/>
    <w:basedOn w:val="Bezlisty"/>
    <w:rsid w:val="00FC7DF6"/>
    <w:pPr>
      <w:numPr>
        <w:numId w:val="6"/>
      </w:numPr>
    </w:pPr>
  </w:style>
  <w:style w:type="numbering" w:customStyle="1" w:styleId="WWNum6">
    <w:name w:val="WWNum6"/>
    <w:basedOn w:val="Bezlisty"/>
    <w:rsid w:val="00FC7DF6"/>
    <w:pPr>
      <w:numPr>
        <w:numId w:val="40"/>
      </w:numPr>
    </w:pPr>
  </w:style>
  <w:style w:type="numbering" w:customStyle="1" w:styleId="WWNum7">
    <w:name w:val="WWNum7"/>
    <w:basedOn w:val="Bezlisty"/>
    <w:rsid w:val="00FC7DF6"/>
    <w:pPr>
      <w:numPr>
        <w:numId w:val="8"/>
      </w:numPr>
    </w:pPr>
  </w:style>
  <w:style w:type="numbering" w:customStyle="1" w:styleId="WWNum8">
    <w:name w:val="WWNum8"/>
    <w:basedOn w:val="Bezlisty"/>
    <w:rsid w:val="00FC7DF6"/>
    <w:pPr>
      <w:numPr>
        <w:numId w:val="9"/>
      </w:numPr>
    </w:pPr>
  </w:style>
  <w:style w:type="numbering" w:customStyle="1" w:styleId="WWNum9">
    <w:name w:val="WWNum9"/>
    <w:basedOn w:val="Bezlisty"/>
    <w:rsid w:val="00FC7DF6"/>
    <w:pPr>
      <w:numPr>
        <w:numId w:val="10"/>
      </w:numPr>
    </w:pPr>
  </w:style>
  <w:style w:type="numbering" w:customStyle="1" w:styleId="WWNum10">
    <w:name w:val="WWNum10"/>
    <w:basedOn w:val="Bezlisty"/>
    <w:rsid w:val="00FC7DF6"/>
    <w:pPr>
      <w:numPr>
        <w:numId w:val="11"/>
      </w:numPr>
    </w:pPr>
  </w:style>
  <w:style w:type="numbering" w:customStyle="1" w:styleId="WWNum11">
    <w:name w:val="WWNum11"/>
    <w:basedOn w:val="Bezlisty"/>
    <w:rsid w:val="00FC7DF6"/>
    <w:pPr>
      <w:numPr>
        <w:numId w:val="12"/>
      </w:numPr>
    </w:pPr>
  </w:style>
  <w:style w:type="numbering" w:customStyle="1" w:styleId="WWNum12">
    <w:name w:val="WWNum12"/>
    <w:basedOn w:val="Bezlisty"/>
    <w:rsid w:val="00FC7DF6"/>
    <w:pPr>
      <w:numPr>
        <w:numId w:val="13"/>
      </w:numPr>
    </w:pPr>
  </w:style>
  <w:style w:type="numbering" w:customStyle="1" w:styleId="WWNum13">
    <w:name w:val="WWNum13"/>
    <w:basedOn w:val="Bezlisty"/>
    <w:rsid w:val="00FC7DF6"/>
    <w:pPr>
      <w:numPr>
        <w:numId w:val="14"/>
      </w:numPr>
    </w:pPr>
  </w:style>
  <w:style w:type="numbering" w:customStyle="1" w:styleId="WWNum14">
    <w:name w:val="WWNum14"/>
    <w:basedOn w:val="Bezlisty"/>
    <w:rsid w:val="00FC7DF6"/>
    <w:pPr>
      <w:numPr>
        <w:numId w:val="15"/>
      </w:numPr>
    </w:pPr>
  </w:style>
  <w:style w:type="numbering" w:customStyle="1" w:styleId="WWNum15">
    <w:name w:val="WWNum15"/>
    <w:basedOn w:val="Bezlisty"/>
    <w:rsid w:val="00FC7DF6"/>
    <w:pPr>
      <w:numPr>
        <w:numId w:val="16"/>
      </w:numPr>
    </w:pPr>
  </w:style>
  <w:style w:type="numbering" w:customStyle="1" w:styleId="WWNum16">
    <w:name w:val="WWNum16"/>
    <w:basedOn w:val="Bezlisty"/>
    <w:rsid w:val="00FC7DF6"/>
    <w:pPr>
      <w:numPr>
        <w:numId w:val="17"/>
      </w:numPr>
    </w:pPr>
  </w:style>
  <w:style w:type="numbering" w:customStyle="1" w:styleId="WWNum17">
    <w:name w:val="WWNum17"/>
    <w:basedOn w:val="Bezlisty"/>
    <w:rsid w:val="00FC7DF6"/>
    <w:pPr>
      <w:numPr>
        <w:numId w:val="18"/>
      </w:numPr>
    </w:pPr>
  </w:style>
  <w:style w:type="numbering" w:customStyle="1" w:styleId="WWNum18">
    <w:name w:val="WWNum18"/>
    <w:basedOn w:val="Bezlisty"/>
    <w:rsid w:val="00FC7DF6"/>
    <w:pPr>
      <w:numPr>
        <w:numId w:val="19"/>
      </w:numPr>
    </w:pPr>
  </w:style>
  <w:style w:type="numbering" w:customStyle="1" w:styleId="WWNum19">
    <w:name w:val="WWNum19"/>
    <w:basedOn w:val="Bezlisty"/>
    <w:rsid w:val="00FC7DF6"/>
    <w:pPr>
      <w:numPr>
        <w:numId w:val="20"/>
      </w:numPr>
    </w:pPr>
  </w:style>
  <w:style w:type="numbering" w:customStyle="1" w:styleId="WWNum20">
    <w:name w:val="WWNum20"/>
    <w:basedOn w:val="Bezlisty"/>
    <w:rsid w:val="00FC7DF6"/>
    <w:pPr>
      <w:numPr>
        <w:numId w:val="21"/>
      </w:numPr>
    </w:pPr>
  </w:style>
  <w:style w:type="paragraph" w:customStyle="1" w:styleId="msonormal0">
    <w:name w:val="msonormal"/>
    <w:basedOn w:val="Normalny"/>
    <w:rsid w:val="000B28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FB24A2"/>
  </w:style>
  <w:style w:type="table" w:styleId="Tabela-Siatka">
    <w:name w:val="Table Grid"/>
    <w:basedOn w:val="Standardowy"/>
    <w:uiPriority w:val="39"/>
    <w:rsid w:val="0038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158A1"/>
    <w:pPr>
      <w:widowControl/>
      <w:autoSpaceDN/>
      <w:spacing w:before="280" w:after="280"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80AB-0BD6-4155-8121-89341E78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24</Pages>
  <Words>6907</Words>
  <Characters>41444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wyszkw</dc:creator>
  <cp:keywords/>
  <dc:description/>
  <cp:lastModifiedBy>Agnieszka Siembor</cp:lastModifiedBy>
  <cp:revision>38</cp:revision>
  <cp:lastPrinted>2025-05-30T11:46:00Z</cp:lastPrinted>
  <dcterms:created xsi:type="dcterms:W3CDTF">2024-05-31T08:32:00Z</dcterms:created>
  <dcterms:modified xsi:type="dcterms:W3CDTF">2025-06-23T07:11:00Z</dcterms:modified>
</cp:coreProperties>
</file>