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5ABE1F9F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9B536E">
        <w:rPr>
          <w:rFonts w:cstheme="minorHAnsi"/>
          <w:sz w:val="26"/>
          <w:szCs w:val="26"/>
        </w:rPr>
        <w:t>3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16D206F8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</w:t>
      </w:r>
      <w:r w:rsidR="005337CF">
        <w:rPr>
          <w:rFonts w:cstheme="minorHAnsi"/>
          <w:sz w:val="26"/>
          <w:szCs w:val="26"/>
        </w:rPr>
        <w:t>a 30</w:t>
      </w:r>
      <w:r w:rsidR="009E5856">
        <w:rPr>
          <w:rFonts w:cstheme="minorHAnsi"/>
          <w:sz w:val="26"/>
          <w:szCs w:val="26"/>
        </w:rPr>
        <w:t xml:space="preserve"> </w:t>
      </w:r>
      <w:r w:rsidR="00D93BB3">
        <w:rPr>
          <w:rFonts w:cstheme="minorHAnsi"/>
          <w:sz w:val="26"/>
          <w:szCs w:val="26"/>
        </w:rPr>
        <w:t>stycznia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792D1D1C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zarządzalne urządzenia sieciowe.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322D10D4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0079"/>
    <w:rsid w:val="00012BAF"/>
    <w:rsid w:val="00040CAE"/>
    <w:rsid w:val="000440BE"/>
    <w:rsid w:val="00053BBD"/>
    <w:rsid w:val="00053FA0"/>
    <w:rsid w:val="0005462D"/>
    <w:rsid w:val="00054AFC"/>
    <w:rsid w:val="00060222"/>
    <w:rsid w:val="00062989"/>
    <w:rsid w:val="000651EC"/>
    <w:rsid w:val="00072E0D"/>
    <w:rsid w:val="00073400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437AA"/>
    <w:rsid w:val="00446DF3"/>
    <w:rsid w:val="004620A6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337CF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B536E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A0134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6E42"/>
    <w:rsid w:val="00F67F6F"/>
    <w:rsid w:val="00F74562"/>
    <w:rsid w:val="00F74A5E"/>
    <w:rsid w:val="00F876D9"/>
    <w:rsid w:val="00F91F60"/>
    <w:rsid w:val="00F957FD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143</cp:revision>
  <cp:lastPrinted>2026-01-30T11:43:00Z</cp:lastPrinted>
  <dcterms:created xsi:type="dcterms:W3CDTF">2019-10-28T09:36:00Z</dcterms:created>
  <dcterms:modified xsi:type="dcterms:W3CDTF">2026-02-02T10:11:00Z</dcterms:modified>
</cp:coreProperties>
</file>